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41873">
      <w:pPr>
        <w:rPr>
          <w:rFonts w:ascii="Times New Roman" w:hAnsi="Times New Roman" w:cs="Times New Roman"/>
          <w:b/>
          <w:bCs/>
          <w:szCs w:val="22"/>
        </w:rPr>
      </w:pPr>
      <w:r>
        <w:rPr>
          <w:rFonts w:ascii="Times New Roman" w:hAnsi="Times New Roman" w:cs="Times New Roman"/>
          <w:b/>
          <w:bCs/>
          <w:szCs w:val="22"/>
        </w:rPr>
        <w:t>Supplementary Table 1. Baseline characteristics of patients with SIMI stratified by PLT/LDH ratio tertiles.</w:t>
      </w:r>
    </w:p>
    <w:tbl>
      <w:tblPr>
        <w:tblStyle w:val="16"/>
        <w:tblpPr w:leftFromText="180" w:rightFromText="180" w:vertAnchor="text" w:tblpXSpec="center" w:tblpY="1"/>
        <w:tblOverlap w:val="never"/>
        <w:tblW w:w="8956" w:type="dxa"/>
        <w:tblInd w:w="0" w:type="dxa"/>
        <w:tblLayout w:type="fixed"/>
        <w:tblCellMar>
          <w:top w:w="0" w:type="dxa"/>
          <w:left w:w="108" w:type="dxa"/>
          <w:bottom w:w="0" w:type="dxa"/>
          <w:right w:w="108" w:type="dxa"/>
        </w:tblCellMar>
      </w:tblPr>
      <w:tblGrid>
        <w:gridCol w:w="2778"/>
        <w:gridCol w:w="1757"/>
        <w:gridCol w:w="1757"/>
        <w:gridCol w:w="1757"/>
        <w:gridCol w:w="907"/>
      </w:tblGrid>
      <w:tr w14:paraId="038380DF">
        <w:tblPrEx>
          <w:tblCellMar>
            <w:top w:w="0" w:type="dxa"/>
            <w:left w:w="108" w:type="dxa"/>
            <w:bottom w:w="0" w:type="dxa"/>
            <w:right w:w="108" w:type="dxa"/>
          </w:tblCellMar>
        </w:tblPrEx>
        <w:trPr>
          <w:trHeight w:val="680" w:hRule="atLeast"/>
        </w:trPr>
        <w:tc>
          <w:tcPr>
            <w:tcW w:w="2778" w:type="dxa"/>
            <w:tcBorders>
              <w:top w:val="single" w:color="auto" w:sz="8" w:space="0"/>
              <w:left w:val="nil"/>
              <w:bottom w:val="single" w:color="auto" w:sz="8" w:space="0"/>
              <w:right w:val="nil"/>
            </w:tcBorders>
            <w:noWrap/>
            <w:vAlign w:val="center"/>
          </w:tcPr>
          <w:p w14:paraId="713B0AC8">
            <w:pPr>
              <w:widowControl/>
              <w:spacing w:after="0" w:line="340" w:lineRule="exact"/>
              <w:jc w:val="both"/>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Characteristics</w:t>
            </w:r>
          </w:p>
        </w:tc>
        <w:tc>
          <w:tcPr>
            <w:tcW w:w="1757" w:type="dxa"/>
            <w:tcBorders>
              <w:top w:val="single" w:color="auto" w:sz="8" w:space="0"/>
              <w:bottom w:val="single" w:color="auto" w:sz="8" w:space="0"/>
            </w:tcBorders>
            <w:vAlign w:val="center"/>
          </w:tcPr>
          <w:p w14:paraId="4672E73C">
            <w:pPr>
              <w:widowControl/>
              <w:spacing w:after="0" w:line="320" w:lineRule="exact"/>
              <w:jc w:val="center"/>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Low</w:t>
            </w:r>
          </w:p>
          <w:p w14:paraId="5931D6DB">
            <w:pPr>
              <w:widowControl/>
              <w:spacing w:after="0" w:line="320" w:lineRule="exact"/>
              <w:jc w:val="center"/>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(n = 1,024)</w:t>
            </w:r>
          </w:p>
        </w:tc>
        <w:tc>
          <w:tcPr>
            <w:tcW w:w="1757" w:type="dxa"/>
            <w:tcBorders>
              <w:top w:val="single" w:color="auto" w:sz="8" w:space="0"/>
              <w:bottom w:val="single" w:color="auto" w:sz="8" w:space="0"/>
            </w:tcBorders>
            <w:vAlign w:val="center"/>
          </w:tcPr>
          <w:p w14:paraId="47739BDB">
            <w:pPr>
              <w:widowControl/>
              <w:spacing w:after="0" w:line="320" w:lineRule="exact"/>
              <w:jc w:val="center"/>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Middle</w:t>
            </w:r>
          </w:p>
          <w:p w14:paraId="5D9ECCB8">
            <w:pPr>
              <w:widowControl/>
              <w:spacing w:after="0" w:line="320" w:lineRule="exact"/>
              <w:jc w:val="center"/>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(n = 1,023)</w:t>
            </w:r>
          </w:p>
        </w:tc>
        <w:tc>
          <w:tcPr>
            <w:tcW w:w="1757" w:type="dxa"/>
            <w:tcBorders>
              <w:top w:val="single" w:color="auto" w:sz="8" w:space="0"/>
              <w:bottom w:val="single" w:color="auto" w:sz="8" w:space="0"/>
            </w:tcBorders>
            <w:vAlign w:val="center"/>
          </w:tcPr>
          <w:p w14:paraId="4C4A0DDB">
            <w:pPr>
              <w:widowControl/>
              <w:spacing w:after="0" w:line="320" w:lineRule="exact"/>
              <w:jc w:val="center"/>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High</w:t>
            </w:r>
          </w:p>
          <w:p w14:paraId="733423C6">
            <w:pPr>
              <w:widowControl/>
              <w:spacing w:after="0" w:line="320" w:lineRule="exact"/>
              <w:jc w:val="center"/>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(n = 1,024)</w:t>
            </w:r>
          </w:p>
        </w:tc>
        <w:tc>
          <w:tcPr>
            <w:tcW w:w="907" w:type="dxa"/>
            <w:tcBorders>
              <w:top w:val="single" w:color="auto" w:sz="8" w:space="0"/>
              <w:bottom w:val="single" w:color="auto" w:sz="8" w:space="0"/>
            </w:tcBorders>
            <w:vAlign w:val="center"/>
          </w:tcPr>
          <w:p w14:paraId="5C713620">
            <w:pPr>
              <w:widowControl/>
              <w:spacing w:after="0" w:line="340" w:lineRule="exact"/>
              <w:jc w:val="center"/>
              <w:rPr>
                <w:rFonts w:ascii="Times New Roman" w:hAnsi="Times New Roman" w:eastAsia="等线" w:cs="Times New Roman"/>
                <w:b/>
                <w:bCs/>
                <w:color w:val="000000"/>
                <w:sz w:val="18"/>
                <w:szCs w:val="18"/>
              </w:rPr>
            </w:pPr>
            <w:r>
              <w:rPr>
                <w:rFonts w:hint="eastAsia" w:ascii="Times New Roman" w:hAnsi="Times New Roman" w:eastAsia="等线" w:cs="Times New Roman"/>
                <w:b/>
                <w:bCs/>
                <w:i/>
                <w:iCs/>
                <w:color w:val="000000"/>
                <w:sz w:val="18"/>
                <w:szCs w:val="18"/>
              </w:rPr>
              <w:t>p</w:t>
            </w:r>
            <w:r>
              <w:rPr>
                <w:rFonts w:ascii="Times New Roman" w:hAnsi="Times New Roman" w:eastAsia="等线" w:cs="Times New Roman"/>
                <w:b/>
                <w:bCs/>
                <w:color w:val="000000"/>
                <w:sz w:val="18"/>
                <w:szCs w:val="18"/>
              </w:rPr>
              <w:t xml:space="preserve"> value</w:t>
            </w:r>
          </w:p>
        </w:tc>
      </w:tr>
      <w:tr w14:paraId="4FA05C69">
        <w:tblPrEx>
          <w:tblCellMar>
            <w:top w:w="0" w:type="dxa"/>
            <w:left w:w="108" w:type="dxa"/>
            <w:bottom w:w="0" w:type="dxa"/>
            <w:right w:w="108" w:type="dxa"/>
          </w:tblCellMar>
        </w:tblPrEx>
        <w:trPr>
          <w:trHeight w:val="312" w:hRule="atLeast"/>
        </w:trPr>
        <w:tc>
          <w:tcPr>
            <w:tcW w:w="2778" w:type="dxa"/>
            <w:tcBorders>
              <w:top w:val="single" w:color="auto" w:sz="8" w:space="0"/>
              <w:left w:val="nil"/>
              <w:bottom w:val="nil"/>
              <w:right w:val="nil"/>
            </w:tcBorders>
            <w:noWrap/>
            <w:vAlign w:val="center"/>
          </w:tcPr>
          <w:p w14:paraId="14E30586">
            <w:pPr>
              <w:widowControl/>
              <w:spacing w:after="0" w:line="340" w:lineRule="exact"/>
              <w:jc w:val="both"/>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Age, mean (SD)</w:t>
            </w:r>
          </w:p>
        </w:tc>
        <w:tc>
          <w:tcPr>
            <w:tcW w:w="1757" w:type="dxa"/>
            <w:tcBorders>
              <w:top w:val="single" w:color="auto" w:sz="8" w:space="0"/>
            </w:tcBorders>
            <w:vAlign w:val="center"/>
          </w:tcPr>
          <w:p w14:paraId="0241B84A">
            <w:pPr>
              <w:widowControl/>
              <w:spacing w:after="0" w:line="32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60.845 (18.575)</w:t>
            </w:r>
          </w:p>
        </w:tc>
        <w:tc>
          <w:tcPr>
            <w:tcW w:w="1757" w:type="dxa"/>
            <w:tcBorders>
              <w:top w:val="single" w:color="auto" w:sz="8" w:space="0"/>
            </w:tcBorders>
            <w:vAlign w:val="center"/>
          </w:tcPr>
          <w:p w14:paraId="33BA2FE6">
            <w:pPr>
              <w:widowControl/>
              <w:spacing w:after="0" w:line="32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66.272 (18.732)</w:t>
            </w:r>
          </w:p>
        </w:tc>
        <w:tc>
          <w:tcPr>
            <w:tcW w:w="1757" w:type="dxa"/>
            <w:tcBorders>
              <w:top w:val="single" w:color="auto" w:sz="8" w:space="0"/>
            </w:tcBorders>
            <w:vAlign w:val="center"/>
          </w:tcPr>
          <w:p w14:paraId="1D7DC141">
            <w:pPr>
              <w:widowControl/>
              <w:spacing w:after="0" w:line="32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60.871 (20.060)</w:t>
            </w:r>
          </w:p>
        </w:tc>
        <w:tc>
          <w:tcPr>
            <w:tcW w:w="907" w:type="dxa"/>
            <w:tcBorders>
              <w:top w:val="single" w:color="auto" w:sz="8" w:space="0"/>
            </w:tcBorders>
            <w:vAlign w:val="center"/>
          </w:tcPr>
          <w:p w14:paraId="3CEC0932">
            <w:pPr>
              <w:widowControl/>
              <w:spacing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16725C00">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5DE79E0E">
            <w:pPr>
              <w:widowControl/>
              <w:spacing w:after="0" w:line="340" w:lineRule="exact"/>
              <w:jc w:val="both"/>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Gender</w:t>
            </w:r>
          </w:p>
        </w:tc>
        <w:tc>
          <w:tcPr>
            <w:tcW w:w="1757" w:type="dxa"/>
            <w:vAlign w:val="center"/>
          </w:tcPr>
          <w:p w14:paraId="419ACA2C">
            <w:pPr>
              <w:widowControl/>
              <w:spacing w:line="320" w:lineRule="exact"/>
              <w:jc w:val="center"/>
              <w:rPr>
                <w:rFonts w:ascii="Times New Roman" w:hAnsi="Times New Roman" w:eastAsia="等线" w:cs="Times New Roman"/>
                <w:color w:val="000000"/>
                <w:sz w:val="18"/>
                <w:szCs w:val="18"/>
              </w:rPr>
            </w:pPr>
          </w:p>
        </w:tc>
        <w:tc>
          <w:tcPr>
            <w:tcW w:w="1757" w:type="dxa"/>
            <w:vAlign w:val="center"/>
          </w:tcPr>
          <w:p w14:paraId="1D16BC35">
            <w:pPr>
              <w:widowControl/>
              <w:spacing w:line="320" w:lineRule="exact"/>
              <w:jc w:val="center"/>
              <w:rPr>
                <w:rFonts w:ascii="Times New Roman" w:hAnsi="Times New Roman" w:eastAsia="等线" w:cs="Times New Roman"/>
                <w:color w:val="000000"/>
                <w:sz w:val="18"/>
                <w:szCs w:val="18"/>
              </w:rPr>
            </w:pPr>
          </w:p>
        </w:tc>
        <w:tc>
          <w:tcPr>
            <w:tcW w:w="1757" w:type="dxa"/>
            <w:vAlign w:val="center"/>
          </w:tcPr>
          <w:p w14:paraId="437237EE">
            <w:pPr>
              <w:widowControl/>
              <w:spacing w:line="320" w:lineRule="exact"/>
              <w:jc w:val="center"/>
              <w:rPr>
                <w:rFonts w:ascii="Times New Roman" w:hAnsi="Times New Roman" w:eastAsia="等线" w:cs="Times New Roman"/>
                <w:color w:val="000000"/>
                <w:sz w:val="18"/>
                <w:szCs w:val="18"/>
              </w:rPr>
            </w:pPr>
          </w:p>
        </w:tc>
        <w:tc>
          <w:tcPr>
            <w:tcW w:w="907" w:type="dxa"/>
            <w:vAlign w:val="center"/>
          </w:tcPr>
          <w:p w14:paraId="7A5C3BD1">
            <w:pPr>
              <w:widowControl/>
              <w:spacing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7A9F6801">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52AB9E23">
            <w:pPr>
              <w:widowControl/>
              <w:spacing w:after="0" w:line="340" w:lineRule="exact"/>
              <w:ind w:firstLine="180" w:firstLineChars="100"/>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Female</w:t>
            </w:r>
            <w:r>
              <w:rPr>
                <w:rFonts w:hint="eastAsia" w:ascii="Times New Roman" w:hAnsi="Times New Roman" w:eastAsia="等线" w:cs="Times New Roman"/>
                <w:color w:val="000000"/>
                <w:sz w:val="18"/>
                <w:szCs w:val="18"/>
              </w:rPr>
              <w:t>, n (%)</w:t>
            </w:r>
          </w:p>
        </w:tc>
        <w:tc>
          <w:tcPr>
            <w:tcW w:w="1757" w:type="dxa"/>
            <w:vAlign w:val="center"/>
          </w:tcPr>
          <w:p w14:paraId="11CDDA4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385 (37.598)</w:t>
            </w:r>
          </w:p>
        </w:tc>
        <w:tc>
          <w:tcPr>
            <w:tcW w:w="1757" w:type="dxa"/>
            <w:vAlign w:val="center"/>
          </w:tcPr>
          <w:p w14:paraId="76E4F73C">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338 (33.040)</w:t>
            </w:r>
          </w:p>
        </w:tc>
        <w:tc>
          <w:tcPr>
            <w:tcW w:w="1757" w:type="dxa"/>
            <w:vAlign w:val="center"/>
          </w:tcPr>
          <w:p w14:paraId="1EAEA25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297 (29.004)</w:t>
            </w:r>
          </w:p>
        </w:tc>
        <w:tc>
          <w:tcPr>
            <w:tcW w:w="907" w:type="dxa"/>
            <w:vAlign w:val="center"/>
          </w:tcPr>
          <w:p w14:paraId="0A9442B0">
            <w:pPr>
              <w:widowControl/>
              <w:spacing w:line="340" w:lineRule="exact"/>
              <w:ind w:firstLine="180" w:firstLineChars="100"/>
              <w:jc w:val="center"/>
              <w:rPr>
                <w:rFonts w:ascii="Times New Roman" w:hAnsi="Times New Roman" w:eastAsia="等线" w:cs="Times New Roman"/>
                <w:color w:val="000000"/>
                <w:sz w:val="18"/>
                <w:szCs w:val="18"/>
              </w:rPr>
            </w:pPr>
          </w:p>
        </w:tc>
      </w:tr>
      <w:tr w14:paraId="0036E53B">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3EBCAAE9">
            <w:pPr>
              <w:widowControl/>
              <w:spacing w:after="0" w:line="340" w:lineRule="exact"/>
              <w:ind w:firstLine="180" w:firstLineChars="100"/>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Male</w:t>
            </w:r>
            <w:r>
              <w:rPr>
                <w:rFonts w:hint="eastAsia" w:ascii="Times New Roman" w:hAnsi="Times New Roman" w:eastAsia="等线" w:cs="Times New Roman"/>
                <w:color w:val="000000"/>
                <w:sz w:val="18"/>
                <w:szCs w:val="18"/>
              </w:rPr>
              <w:t>, n (%)</w:t>
            </w:r>
          </w:p>
        </w:tc>
        <w:tc>
          <w:tcPr>
            <w:tcW w:w="1757" w:type="dxa"/>
            <w:vAlign w:val="center"/>
          </w:tcPr>
          <w:p w14:paraId="6E3D7E6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639 (62.402)</w:t>
            </w:r>
          </w:p>
        </w:tc>
        <w:tc>
          <w:tcPr>
            <w:tcW w:w="1757" w:type="dxa"/>
            <w:vAlign w:val="center"/>
          </w:tcPr>
          <w:p w14:paraId="7F5ACA30">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685 (66.960)</w:t>
            </w:r>
          </w:p>
        </w:tc>
        <w:tc>
          <w:tcPr>
            <w:tcW w:w="1757" w:type="dxa"/>
            <w:vAlign w:val="center"/>
          </w:tcPr>
          <w:p w14:paraId="55AA730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727 (70.996)</w:t>
            </w:r>
          </w:p>
        </w:tc>
        <w:tc>
          <w:tcPr>
            <w:tcW w:w="907" w:type="dxa"/>
            <w:vAlign w:val="center"/>
          </w:tcPr>
          <w:p w14:paraId="35FAB811">
            <w:pPr>
              <w:widowControl/>
              <w:spacing w:line="340" w:lineRule="exact"/>
              <w:ind w:firstLine="180" w:firstLineChars="100"/>
              <w:jc w:val="center"/>
              <w:rPr>
                <w:rFonts w:ascii="Times New Roman" w:hAnsi="Times New Roman" w:eastAsia="等线" w:cs="Times New Roman"/>
                <w:color w:val="000000"/>
                <w:sz w:val="18"/>
                <w:szCs w:val="18"/>
              </w:rPr>
            </w:pPr>
          </w:p>
        </w:tc>
      </w:tr>
      <w:tr w14:paraId="598F3A59">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7134B35E">
            <w:pPr>
              <w:widowControl/>
              <w:spacing w:after="0" w:line="340" w:lineRule="exact"/>
              <w:jc w:val="both"/>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Comorbidity</w:t>
            </w:r>
          </w:p>
        </w:tc>
        <w:tc>
          <w:tcPr>
            <w:tcW w:w="1757" w:type="dxa"/>
            <w:vAlign w:val="center"/>
          </w:tcPr>
          <w:p w14:paraId="7130FEE5">
            <w:pPr>
              <w:widowControl/>
              <w:spacing w:after="0" w:line="320" w:lineRule="exact"/>
              <w:jc w:val="center"/>
              <w:rPr>
                <w:rFonts w:ascii="Times New Roman" w:hAnsi="Times New Roman" w:eastAsia="等线" w:cs="Times New Roman"/>
                <w:color w:val="000000"/>
                <w:sz w:val="18"/>
                <w:szCs w:val="18"/>
              </w:rPr>
            </w:pPr>
          </w:p>
        </w:tc>
        <w:tc>
          <w:tcPr>
            <w:tcW w:w="1757" w:type="dxa"/>
            <w:vAlign w:val="center"/>
          </w:tcPr>
          <w:p w14:paraId="439E4AE8">
            <w:pPr>
              <w:widowControl/>
              <w:spacing w:after="0" w:line="320" w:lineRule="exact"/>
              <w:jc w:val="center"/>
              <w:rPr>
                <w:rFonts w:ascii="Times New Roman" w:hAnsi="Times New Roman" w:eastAsia="等线" w:cs="Times New Roman"/>
                <w:color w:val="000000"/>
                <w:sz w:val="18"/>
                <w:szCs w:val="18"/>
              </w:rPr>
            </w:pPr>
          </w:p>
        </w:tc>
        <w:tc>
          <w:tcPr>
            <w:tcW w:w="1757" w:type="dxa"/>
            <w:vAlign w:val="center"/>
          </w:tcPr>
          <w:p w14:paraId="0F31ED22">
            <w:pPr>
              <w:widowControl/>
              <w:spacing w:after="0" w:line="320" w:lineRule="exact"/>
              <w:jc w:val="center"/>
              <w:rPr>
                <w:rFonts w:ascii="Times New Roman" w:hAnsi="Times New Roman" w:eastAsia="等线" w:cs="Times New Roman"/>
                <w:color w:val="000000"/>
                <w:sz w:val="18"/>
                <w:szCs w:val="18"/>
              </w:rPr>
            </w:pPr>
          </w:p>
        </w:tc>
        <w:tc>
          <w:tcPr>
            <w:tcW w:w="907" w:type="dxa"/>
            <w:vAlign w:val="center"/>
          </w:tcPr>
          <w:p w14:paraId="6FD873C1">
            <w:pPr>
              <w:widowControl/>
              <w:spacing w:line="340" w:lineRule="exact"/>
              <w:jc w:val="center"/>
              <w:rPr>
                <w:rFonts w:ascii="Times New Roman" w:hAnsi="Times New Roman" w:eastAsia="等线" w:cs="Times New Roman"/>
                <w:color w:val="000000"/>
                <w:sz w:val="18"/>
                <w:szCs w:val="18"/>
              </w:rPr>
            </w:pPr>
          </w:p>
        </w:tc>
      </w:tr>
      <w:tr w14:paraId="68BF2AA7">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2FABB751">
            <w:pPr>
              <w:widowControl/>
              <w:spacing w:after="0" w:line="340" w:lineRule="exact"/>
              <w:ind w:firstLine="180" w:firstLineChars="100"/>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Hypertension</w:t>
            </w:r>
            <w:r>
              <w:rPr>
                <w:rFonts w:hint="eastAsia" w:ascii="Times New Roman" w:hAnsi="Times New Roman" w:eastAsia="等线" w:cs="Times New Roman"/>
                <w:color w:val="000000"/>
                <w:sz w:val="18"/>
                <w:szCs w:val="18"/>
              </w:rPr>
              <w:t>, n (%)</w:t>
            </w:r>
          </w:p>
        </w:tc>
        <w:tc>
          <w:tcPr>
            <w:tcW w:w="1757" w:type="dxa"/>
            <w:vAlign w:val="center"/>
          </w:tcPr>
          <w:p w14:paraId="3D241897">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200 (19.531)</w:t>
            </w:r>
          </w:p>
        </w:tc>
        <w:tc>
          <w:tcPr>
            <w:tcW w:w="1757" w:type="dxa"/>
            <w:vAlign w:val="center"/>
          </w:tcPr>
          <w:p w14:paraId="201DB297">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166 (24.412)</w:t>
            </w:r>
          </w:p>
        </w:tc>
        <w:tc>
          <w:tcPr>
            <w:tcW w:w="1757" w:type="dxa"/>
            <w:vAlign w:val="center"/>
          </w:tcPr>
          <w:p w14:paraId="6DD369FA">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443 (43.262)</w:t>
            </w:r>
          </w:p>
        </w:tc>
        <w:tc>
          <w:tcPr>
            <w:tcW w:w="907" w:type="dxa"/>
            <w:vAlign w:val="center"/>
          </w:tcPr>
          <w:p w14:paraId="49AE718D">
            <w:pPr>
              <w:widowControl/>
              <w:spacing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1538FC4D">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5D36DE84">
            <w:pPr>
              <w:widowControl/>
              <w:spacing w:after="0" w:line="340" w:lineRule="exact"/>
              <w:ind w:firstLine="180" w:firstLineChars="100"/>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DM</w:t>
            </w:r>
            <w:r>
              <w:rPr>
                <w:rFonts w:hint="eastAsia" w:ascii="Times New Roman" w:hAnsi="Times New Roman" w:eastAsia="等线" w:cs="Times New Roman"/>
                <w:color w:val="000000"/>
                <w:sz w:val="18"/>
                <w:szCs w:val="18"/>
              </w:rPr>
              <w:t>, n (%)</w:t>
            </w:r>
          </w:p>
        </w:tc>
        <w:tc>
          <w:tcPr>
            <w:tcW w:w="1757" w:type="dxa"/>
            <w:vAlign w:val="center"/>
          </w:tcPr>
          <w:p w14:paraId="73A1D2A1">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141 (13.770)</w:t>
            </w:r>
          </w:p>
        </w:tc>
        <w:tc>
          <w:tcPr>
            <w:tcW w:w="1757" w:type="dxa"/>
            <w:vAlign w:val="center"/>
          </w:tcPr>
          <w:p w14:paraId="4315B50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217 (21.212)</w:t>
            </w:r>
          </w:p>
        </w:tc>
        <w:tc>
          <w:tcPr>
            <w:tcW w:w="1757" w:type="dxa"/>
            <w:vAlign w:val="center"/>
          </w:tcPr>
          <w:p w14:paraId="35D98C45">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249 (24.316)</w:t>
            </w:r>
          </w:p>
        </w:tc>
        <w:tc>
          <w:tcPr>
            <w:tcW w:w="907" w:type="dxa"/>
            <w:vAlign w:val="center"/>
          </w:tcPr>
          <w:p w14:paraId="53BAAEC7">
            <w:pPr>
              <w:widowControl/>
              <w:spacing w:line="340" w:lineRule="exact"/>
              <w:jc w:val="center"/>
              <w:rPr>
                <w:rFonts w:ascii="Times New Roman" w:hAnsi="Times New Roman" w:eastAsia="等线" w:cs="Times New Roman"/>
                <w:color w:val="000000"/>
                <w:sz w:val="18"/>
                <w:szCs w:val="18"/>
              </w:rPr>
            </w:pPr>
            <w:bookmarkStart w:id="0" w:name="OLE_LINK85"/>
            <w:r>
              <w:rPr>
                <w:rFonts w:ascii="Times New Roman" w:hAnsi="Times New Roman" w:eastAsia="等线" w:cs="Times New Roman"/>
                <w:color w:val="000000"/>
                <w:sz w:val="18"/>
                <w:szCs w:val="18"/>
              </w:rPr>
              <w:t>&lt;0.001</w:t>
            </w:r>
            <w:bookmarkEnd w:id="0"/>
          </w:p>
        </w:tc>
      </w:tr>
      <w:tr w14:paraId="3607FABE">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7155561F">
            <w:pPr>
              <w:widowControl/>
              <w:spacing w:after="0" w:line="340" w:lineRule="exact"/>
              <w:ind w:firstLine="180" w:firstLineChars="100"/>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CAD</w:t>
            </w:r>
            <w:r>
              <w:rPr>
                <w:rFonts w:hint="eastAsia" w:ascii="Times New Roman" w:hAnsi="Times New Roman" w:eastAsia="等线" w:cs="Times New Roman"/>
                <w:color w:val="000000"/>
                <w:sz w:val="18"/>
                <w:szCs w:val="18"/>
              </w:rPr>
              <w:t>, n (%)</w:t>
            </w:r>
          </w:p>
        </w:tc>
        <w:tc>
          <w:tcPr>
            <w:tcW w:w="1757" w:type="dxa"/>
            <w:vAlign w:val="center"/>
          </w:tcPr>
          <w:p w14:paraId="0B65D90A">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102 (9.961)</w:t>
            </w:r>
          </w:p>
        </w:tc>
        <w:tc>
          <w:tcPr>
            <w:tcW w:w="1757" w:type="dxa"/>
            <w:vAlign w:val="center"/>
          </w:tcPr>
          <w:p w14:paraId="0DED8F2A">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150 (14.663)</w:t>
            </w:r>
          </w:p>
        </w:tc>
        <w:tc>
          <w:tcPr>
            <w:tcW w:w="1757" w:type="dxa"/>
            <w:vAlign w:val="center"/>
          </w:tcPr>
          <w:p w14:paraId="6AD5F7C7">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166 (16.211)</w:t>
            </w:r>
          </w:p>
        </w:tc>
        <w:tc>
          <w:tcPr>
            <w:tcW w:w="907" w:type="dxa"/>
            <w:vAlign w:val="center"/>
          </w:tcPr>
          <w:p w14:paraId="135F08FC">
            <w:pPr>
              <w:widowControl/>
              <w:spacing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45606A8B">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4C284C7C">
            <w:pPr>
              <w:widowControl/>
              <w:spacing w:after="0" w:line="340" w:lineRule="exact"/>
              <w:jc w:val="both"/>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Laboratory examination</w:t>
            </w:r>
          </w:p>
        </w:tc>
        <w:tc>
          <w:tcPr>
            <w:tcW w:w="1757" w:type="dxa"/>
            <w:vAlign w:val="center"/>
          </w:tcPr>
          <w:p w14:paraId="3F498FB0">
            <w:pPr>
              <w:widowControl/>
              <w:spacing w:line="320" w:lineRule="exact"/>
              <w:jc w:val="center"/>
              <w:rPr>
                <w:rFonts w:ascii="Times New Roman" w:hAnsi="Times New Roman" w:eastAsia="等线" w:cs="Times New Roman"/>
                <w:color w:val="000000"/>
                <w:sz w:val="18"/>
                <w:szCs w:val="18"/>
              </w:rPr>
            </w:pPr>
          </w:p>
        </w:tc>
        <w:tc>
          <w:tcPr>
            <w:tcW w:w="1757" w:type="dxa"/>
            <w:vAlign w:val="center"/>
          </w:tcPr>
          <w:p w14:paraId="42339A4E">
            <w:pPr>
              <w:widowControl/>
              <w:spacing w:line="320" w:lineRule="exact"/>
              <w:jc w:val="center"/>
              <w:rPr>
                <w:rFonts w:ascii="Times New Roman" w:hAnsi="Times New Roman" w:eastAsia="等线" w:cs="Times New Roman"/>
                <w:color w:val="000000"/>
                <w:sz w:val="18"/>
                <w:szCs w:val="18"/>
              </w:rPr>
            </w:pPr>
          </w:p>
        </w:tc>
        <w:tc>
          <w:tcPr>
            <w:tcW w:w="1757" w:type="dxa"/>
            <w:vAlign w:val="center"/>
          </w:tcPr>
          <w:p w14:paraId="38280E67">
            <w:pPr>
              <w:widowControl/>
              <w:spacing w:line="320" w:lineRule="exact"/>
              <w:jc w:val="center"/>
              <w:rPr>
                <w:rFonts w:ascii="Times New Roman" w:hAnsi="Times New Roman" w:eastAsia="等线" w:cs="Times New Roman"/>
                <w:color w:val="000000"/>
                <w:sz w:val="18"/>
                <w:szCs w:val="18"/>
              </w:rPr>
            </w:pPr>
          </w:p>
        </w:tc>
        <w:tc>
          <w:tcPr>
            <w:tcW w:w="907" w:type="dxa"/>
            <w:vAlign w:val="center"/>
          </w:tcPr>
          <w:p w14:paraId="576E2930">
            <w:pPr>
              <w:widowControl/>
              <w:spacing w:line="340" w:lineRule="exact"/>
              <w:jc w:val="center"/>
              <w:rPr>
                <w:rFonts w:ascii="Times New Roman" w:hAnsi="Times New Roman" w:eastAsia="等线" w:cs="Times New Roman"/>
                <w:color w:val="000000"/>
                <w:sz w:val="18"/>
                <w:szCs w:val="18"/>
              </w:rPr>
            </w:pPr>
          </w:p>
        </w:tc>
      </w:tr>
      <w:tr w14:paraId="1A947F1F">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42137394">
            <w:pPr>
              <w:widowControl/>
              <w:spacing w:after="0" w:line="340" w:lineRule="exact"/>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WBC count (10</w:t>
            </w:r>
            <w:r>
              <w:rPr>
                <w:rFonts w:ascii="Times New Roman" w:hAnsi="Times New Roman" w:eastAsia="等线" w:cs="Times New Roman"/>
                <w:color w:val="000000"/>
                <w:sz w:val="18"/>
                <w:szCs w:val="18"/>
                <w:vertAlign w:val="superscript"/>
              </w:rPr>
              <w:t>9</w:t>
            </w:r>
            <w:r>
              <w:rPr>
                <w:rFonts w:ascii="Times New Roman" w:hAnsi="Times New Roman" w:eastAsia="等线" w:cs="Times New Roman"/>
                <w:color w:val="000000"/>
                <w:sz w:val="18"/>
                <w:szCs w:val="18"/>
              </w:rPr>
              <w:t>/L), median (IQR)</w:t>
            </w:r>
          </w:p>
        </w:tc>
        <w:tc>
          <w:tcPr>
            <w:tcW w:w="1757" w:type="dxa"/>
            <w:vAlign w:val="center"/>
          </w:tcPr>
          <w:p w14:paraId="0DBD57F7">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9.460</w:t>
            </w:r>
          </w:p>
          <w:p w14:paraId="70507206">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(8.362-9.900)</w:t>
            </w:r>
          </w:p>
        </w:tc>
        <w:tc>
          <w:tcPr>
            <w:tcW w:w="1757" w:type="dxa"/>
            <w:vAlign w:val="center"/>
          </w:tcPr>
          <w:p w14:paraId="56ECA8C2">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9.530</w:t>
            </w:r>
          </w:p>
          <w:p w14:paraId="23A458C9">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(8.585-9.940)</w:t>
            </w:r>
          </w:p>
        </w:tc>
        <w:tc>
          <w:tcPr>
            <w:tcW w:w="1757" w:type="dxa"/>
            <w:vAlign w:val="center"/>
          </w:tcPr>
          <w:p w14:paraId="1B5AA1F3">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9.315</w:t>
            </w:r>
          </w:p>
          <w:p w14:paraId="7E0A4867">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(8.050-9.830)</w:t>
            </w:r>
          </w:p>
        </w:tc>
        <w:tc>
          <w:tcPr>
            <w:tcW w:w="907" w:type="dxa"/>
            <w:vAlign w:val="center"/>
          </w:tcPr>
          <w:p w14:paraId="7BFE725A">
            <w:pPr>
              <w:widowControl/>
              <w:spacing w:after="0" w:line="340" w:lineRule="exact"/>
              <w:jc w:val="center"/>
              <w:rPr>
                <w:rFonts w:ascii="Times New Roman" w:hAnsi="Times New Roman" w:eastAsia="等线" w:cs="Times New Roman"/>
                <w:color w:val="000000"/>
                <w:sz w:val="18"/>
                <w:szCs w:val="18"/>
              </w:rPr>
            </w:pPr>
            <w:bookmarkStart w:id="1" w:name="OLE_LINK86"/>
            <w:r>
              <w:rPr>
                <w:rFonts w:ascii="Times New Roman" w:hAnsi="Times New Roman" w:eastAsia="等线" w:cs="Times New Roman"/>
                <w:color w:val="000000"/>
                <w:sz w:val="18"/>
                <w:szCs w:val="18"/>
              </w:rPr>
              <w:t>&lt;0.001</w:t>
            </w:r>
            <w:bookmarkEnd w:id="1"/>
          </w:p>
        </w:tc>
      </w:tr>
      <w:tr w14:paraId="52A668EF">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469E9097">
            <w:pPr>
              <w:widowControl/>
              <w:spacing w:after="0" w:line="340" w:lineRule="exact"/>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RBC count (10</w:t>
            </w:r>
            <w:r>
              <w:rPr>
                <w:rFonts w:hint="eastAsia" w:ascii="Times New Roman" w:hAnsi="Times New Roman" w:eastAsia="等线" w:cs="Times New Roman"/>
                <w:color w:val="000000"/>
                <w:sz w:val="18"/>
                <w:szCs w:val="18"/>
                <w:vertAlign w:val="superscript"/>
              </w:rPr>
              <w:t>12</w:t>
            </w:r>
            <w:r>
              <w:rPr>
                <w:rFonts w:ascii="Times New Roman" w:hAnsi="Times New Roman" w:eastAsia="等线" w:cs="Times New Roman"/>
                <w:color w:val="000000"/>
                <w:sz w:val="18"/>
                <w:szCs w:val="18"/>
              </w:rPr>
              <w:t>/L), median (IQR)</w:t>
            </w:r>
          </w:p>
        </w:tc>
        <w:tc>
          <w:tcPr>
            <w:tcW w:w="1757" w:type="dxa"/>
            <w:vAlign w:val="center"/>
          </w:tcPr>
          <w:p w14:paraId="5D8A4B90">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3.570</w:t>
            </w:r>
          </w:p>
          <w:p w14:paraId="474B3016">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(3.120-4.140)</w:t>
            </w:r>
          </w:p>
        </w:tc>
        <w:tc>
          <w:tcPr>
            <w:tcW w:w="1757" w:type="dxa"/>
            <w:vAlign w:val="center"/>
          </w:tcPr>
          <w:p w14:paraId="16618D2A">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3.590</w:t>
            </w:r>
          </w:p>
          <w:p w14:paraId="5CD2883E">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(3.180-4.090)</w:t>
            </w:r>
          </w:p>
        </w:tc>
        <w:tc>
          <w:tcPr>
            <w:tcW w:w="1757" w:type="dxa"/>
            <w:vAlign w:val="center"/>
          </w:tcPr>
          <w:p w14:paraId="7CEC01A4">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3.715</w:t>
            </w:r>
          </w:p>
          <w:p w14:paraId="45A56050">
            <w:pPr>
              <w:widowControl/>
              <w:spacing w:after="0" w:line="320" w:lineRule="exact"/>
              <w:ind w:left="220" w:left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(3.200-4.220)</w:t>
            </w:r>
          </w:p>
        </w:tc>
        <w:tc>
          <w:tcPr>
            <w:tcW w:w="907" w:type="dxa"/>
            <w:vAlign w:val="center"/>
          </w:tcPr>
          <w:p w14:paraId="6A7AA73F">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0.025</w:t>
            </w:r>
          </w:p>
        </w:tc>
      </w:tr>
      <w:tr w14:paraId="687974B0">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700AD3F5">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PLT (10</w:t>
            </w:r>
            <w:r>
              <w:rPr>
                <w:rFonts w:ascii="Times New Roman" w:hAnsi="Times New Roman" w:eastAsia="等线" w:cs="Times New Roman"/>
                <w:color w:val="000000"/>
                <w:sz w:val="18"/>
                <w:szCs w:val="18"/>
                <w:vertAlign w:val="superscript"/>
              </w:rPr>
              <w:t>9</w:t>
            </w:r>
            <w:r>
              <w:rPr>
                <w:rFonts w:ascii="Times New Roman" w:hAnsi="Times New Roman" w:eastAsia="等线" w:cs="Times New Roman"/>
                <w:color w:val="000000"/>
                <w:sz w:val="18"/>
                <w:szCs w:val="18"/>
              </w:rPr>
              <w:t>/L), median (IQR)</w:t>
            </w:r>
          </w:p>
        </w:tc>
        <w:tc>
          <w:tcPr>
            <w:tcW w:w="1757" w:type="dxa"/>
            <w:vAlign w:val="center"/>
          </w:tcPr>
          <w:p w14:paraId="1E4B793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87.000</w:t>
            </w:r>
          </w:p>
          <w:p w14:paraId="40BDEC5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(60.000-96.000)</w:t>
            </w:r>
          </w:p>
        </w:tc>
        <w:tc>
          <w:tcPr>
            <w:tcW w:w="1757" w:type="dxa"/>
            <w:vAlign w:val="center"/>
          </w:tcPr>
          <w:p w14:paraId="31AF3240">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96.000</w:t>
            </w:r>
          </w:p>
          <w:p w14:paraId="3418E0AF">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(90.000-112.000)</w:t>
            </w:r>
          </w:p>
        </w:tc>
        <w:tc>
          <w:tcPr>
            <w:tcW w:w="1757" w:type="dxa"/>
            <w:vAlign w:val="center"/>
          </w:tcPr>
          <w:p w14:paraId="76C55D45">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289.000 (209.000-385.500)</w:t>
            </w:r>
          </w:p>
        </w:tc>
        <w:tc>
          <w:tcPr>
            <w:tcW w:w="907" w:type="dxa"/>
            <w:vAlign w:val="center"/>
          </w:tcPr>
          <w:p w14:paraId="68D37B0B">
            <w:pPr>
              <w:widowControl/>
              <w:spacing w:after="0" w:line="340" w:lineRule="exact"/>
              <w:jc w:val="center"/>
              <w:rPr>
                <w:rFonts w:ascii="Times New Roman" w:hAnsi="Times New Roman" w:eastAsia="等线" w:cs="Times New Roman"/>
                <w:color w:val="000000"/>
                <w:sz w:val="18"/>
                <w:szCs w:val="18"/>
              </w:rPr>
            </w:pPr>
            <w:bookmarkStart w:id="2" w:name="OLE_LINK87"/>
            <w:r>
              <w:rPr>
                <w:rFonts w:ascii="Times New Roman" w:hAnsi="Times New Roman" w:eastAsia="等线" w:cs="Times New Roman"/>
                <w:color w:val="000000"/>
                <w:sz w:val="18"/>
                <w:szCs w:val="18"/>
              </w:rPr>
              <w:t>&lt;0.001</w:t>
            </w:r>
            <w:bookmarkEnd w:id="2"/>
          </w:p>
        </w:tc>
      </w:tr>
      <w:tr w14:paraId="7088B540">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070E37E6">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PT (s), median (IQR)</w:t>
            </w:r>
          </w:p>
        </w:tc>
        <w:tc>
          <w:tcPr>
            <w:tcW w:w="1757" w:type="dxa"/>
            <w:vAlign w:val="center"/>
          </w:tcPr>
          <w:p w14:paraId="07D4F91E">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21.600</w:t>
            </w:r>
          </w:p>
          <w:p w14:paraId="24E963A8">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(17.600-32.600)</w:t>
            </w:r>
          </w:p>
        </w:tc>
        <w:tc>
          <w:tcPr>
            <w:tcW w:w="1757" w:type="dxa"/>
            <w:vAlign w:val="center"/>
          </w:tcPr>
          <w:p w14:paraId="63B5BD6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17.000</w:t>
            </w:r>
          </w:p>
          <w:p w14:paraId="556169F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(15.200-21.025)</w:t>
            </w:r>
          </w:p>
        </w:tc>
        <w:tc>
          <w:tcPr>
            <w:tcW w:w="1757" w:type="dxa"/>
            <w:vAlign w:val="center"/>
          </w:tcPr>
          <w:p w14:paraId="2C6E1ECE">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15.800</w:t>
            </w:r>
          </w:p>
          <w:p w14:paraId="5E66D0D0">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(14.400-18.000)</w:t>
            </w:r>
          </w:p>
        </w:tc>
        <w:tc>
          <w:tcPr>
            <w:tcW w:w="907" w:type="dxa"/>
            <w:vAlign w:val="center"/>
          </w:tcPr>
          <w:p w14:paraId="02794834">
            <w:pPr>
              <w:widowControl/>
              <w:spacing w:after="0" w:line="340" w:lineRule="exact"/>
              <w:jc w:val="center"/>
              <w:rPr>
                <w:rFonts w:ascii="Times New Roman" w:hAnsi="Times New Roman" w:eastAsia="等线" w:cs="Times New Roman"/>
                <w:color w:val="000000"/>
                <w:sz w:val="18"/>
                <w:szCs w:val="18"/>
              </w:rPr>
            </w:pPr>
            <w:bookmarkStart w:id="3" w:name="OLE_LINK88"/>
            <w:r>
              <w:rPr>
                <w:rFonts w:ascii="Times New Roman" w:hAnsi="Times New Roman" w:eastAsia="等线" w:cs="Times New Roman"/>
                <w:color w:val="000000"/>
                <w:sz w:val="18"/>
                <w:szCs w:val="18"/>
              </w:rPr>
              <w:t>&lt;0.001</w:t>
            </w:r>
            <w:bookmarkEnd w:id="3"/>
          </w:p>
        </w:tc>
      </w:tr>
      <w:tr w14:paraId="10963417">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0EFFAF45">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INR, median (IQR)</w:t>
            </w:r>
          </w:p>
        </w:tc>
        <w:tc>
          <w:tcPr>
            <w:tcW w:w="1757" w:type="dxa"/>
            <w:vAlign w:val="center"/>
          </w:tcPr>
          <w:p w14:paraId="782FE8AC">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1.870</w:t>
            </w:r>
          </w:p>
          <w:p w14:paraId="0C5CF3F3">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(1.440-3.060)</w:t>
            </w:r>
          </w:p>
        </w:tc>
        <w:tc>
          <w:tcPr>
            <w:tcW w:w="1757" w:type="dxa"/>
            <w:vAlign w:val="center"/>
          </w:tcPr>
          <w:p w14:paraId="5F15280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1.390</w:t>
            </w:r>
          </w:p>
          <w:p w14:paraId="0254070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(1.200-1.810)</w:t>
            </w:r>
          </w:p>
        </w:tc>
        <w:tc>
          <w:tcPr>
            <w:tcW w:w="1757" w:type="dxa"/>
            <w:vAlign w:val="center"/>
          </w:tcPr>
          <w:p w14:paraId="274A50F3">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1.260</w:t>
            </w:r>
          </w:p>
          <w:p w14:paraId="00375D08">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(1.120-1.485)</w:t>
            </w:r>
          </w:p>
        </w:tc>
        <w:tc>
          <w:tcPr>
            <w:tcW w:w="907" w:type="dxa"/>
            <w:vAlign w:val="center"/>
          </w:tcPr>
          <w:p w14:paraId="207DA0CB">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7E7382D5">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234EB24B">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CRP (mg/</w:t>
            </w:r>
            <w:r>
              <w:rPr>
                <w:rFonts w:hint="eastAsia" w:ascii="Times New Roman" w:hAnsi="Times New Roman" w:eastAsia="等线" w:cs="Times New Roman"/>
                <w:color w:val="000000"/>
                <w:sz w:val="18"/>
                <w:szCs w:val="18"/>
              </w:rPr>
              <w:t>d</w:t>
            </w:r>
            <w:r>
              <w:rPr>
                <w:rFonts w:ascii="Times New Roman" w:hAnsi="Times New Roman" w:eastAsia="等线" w:cs="Times New Roman"/>
                <w:color w:val="000000"/>
                <w:sz w:val="18"/>
                <w:szCs w:val="18"/>
              </w:rPr>
              <w:t>L), median (IQR)</w:t>
            </w:r>
          </w:p>
        </w:tc>
        <w:tc>
          <w:tcPr>
            <w:tcW w:w="1757" w:type="dxa"/>
            <w:vAlign w:val="center"/>
          </w:tcPr>
          <w:p w14:paraId="5A2AC631">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8.512</w:t>
            </w:r>
          </w:p>
          <w:p w14:paraId="304611C6">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(5.075-9.670)</w:t>
            </w:r>
          </w:p>
        </w:tc>
        <w:tc>
          <w:tcPr>
            <w:tcW w:w="1757" w:type="dxa"/>
            <w:vAlign w:val="center"/>
          </w:tcPr>
          <w:p w14:paraId="56E9C4CF">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7.360</w:t>
            </w:r>
          </w:p>
          <w:p w14:paraId="21139CC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(2.851-9.349)</w:t>
            </w:r>
          </w:p>
        </w:tc>
        <w:tc>
          <w:tcPr>
            <w:tcW w:w="1757" w:type="dxa"/>
            <w:vAlign w:val="center"/>
          </w:tcPr>
          <w:p w14:paraId="109F6F88">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6.192</w:t>
            </w:r>
          </w:p>
          <w:p w14:paraId="22B108E7">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(1.140-9.007)</w:t>
            </w:r>
          </w:p>
        </w:tc>
        <w:tc>
          <w:tcPr>
            <w:tcW w:w="907" w:type="dxa"/>
            <w:vAlign w:val="center"/>
          </w:tcPr>
          <w:p w14:paraId="75019D50">
            <w:pPr>
              <w:widowControl/>
              <w:spacing w:after="0" w:line="340" w:lineRule="exact"/>
              <w:jc w:val="center"/>
              <w:rPr>
                <w:rFonts w:ascii="Times New Roman" w:hAnsi="Times New Roman" w:eastAsia="等线" w:cs="Times New Roman"/>
                <w:color w:val="000000"/>
                <w:sz w:val="18"/>
                <w:szCs w:val="18"/>
              </w:rPr>
            </w:pPr>
            <w:bookmarkStart w:id="4" w:name="OLE_LINK89"/>
            <w:r>
              <w:rPr>
                <w:rFonts w:ascii="Times New Roman" w:hAnsi="Times New Roman" w:eastAsia="等线" w:cs="Times New Roman"/>
                <w:color w:val="000000"/>
                <w:sz w:val="18"/>
                <w:szCs w:val="18"/>
              </w:rPr>
              <w:t>&lt;0.001</w:t>
            </w:r>
            <w:bookmarkEnd w:id="4"/>
          </w:p>
        </w:tc>
      </w:tr>
      <w:tr w14:paraId="783BF629">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1C16E759">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IL-6 (ng/L), median (IQR)</w:t>
            </w:r>
          </w:p>
        </w:tc>
        <w:tc>
          <w:tcPr>
            <w:tcW w:w="1757" w:type="dxa"/>
            <w:vAlign w:val="center"/>
          </w:tcPr>
          <w:p w14:paraId="4A47037F">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95.920</w:t>
            </w:r>
          </w:p>
          <w:p w14:paraId="7FA68302">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(59.240-1000.000)</w:t>
            </w:r>
          </w:p>
        </w:tc>
        <w:tc>
          <w:tcPr>
            <w:tcW w:w="1757" w:type="dxa"/>
            <w:vAlign w:val="center"/>
          </w:tcPr>
          <w:p w14:paraId="06F09F3A">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65.540</w:t>
            </w:r>
          </w:p>
          <w:p w14:paraId="7B4AD770">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(8.398-95.562)</w:t>
            </w:r>
          </w:p>
        </w:tc>
        <w:tc>
          <w:tcPr>
            <w:tcW w:w="1757" w:type="dxa"/>
            <w:vAlign w:val="center"/>
          </w:tcPr>
          <w:p w14:paraId="12BDC2AC">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20.700</w:t>
            </w:r>
          </w:p>
          <w:p w14:paraId="6B6C8562">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(7.075-87.715)</w:t>
            </w:r>
          </w:p>
        </w:tc>
        <w:tc>
          <w:tcPr>
            <w:tcW w:w="907" w:type="dxa"/>
            <w:vAlign w:val="center"/>
          </w:tcPr>
          <w:p w14:paraId="38456B06">
            <w:pPr>
              <w:widowControl/>
              <w:spacing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603D21A5">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1899BAE7">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ALT (U/L), median (IQR)</w:t>
            </w:r>
          </w:p>
        </w:tc>
        <w:tc>
          <w:tcPr>
            <w:tcW w:w="1757" w:type="dxa"/>
            <w:vAlign w:val="center"/>
          </w:tcPr>
          <w:p w14:paraId="14FA269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57.500</w:t>
            </w:r>
          </w:p>
          <w:p w14:paraId="3645CBD6">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(9.600-93.950)</w:t>
            </w:r>
          </w:p>
        </w:tc>
        <w:tc>
          <w:tcPr>
            <w:tcW w:w="1757" w:type="dxa"/>
            <w:vAlign w:val="center"/>
          </w:tcPr>
          <w:p w14:paraId="1222C8C2">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15.700</w:t>
            </w:r>
          </w:p>
          <w:p w14:paraId="6252F10E">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(9.200-66.400)</w:t>
            </w:r>
          </w:p>
        </w:tc>
        <w:tc>
          <w:tcPr>
            <w:tcW w:w="1757" w:type="dxa"/>
            <w:vAlign w:val="center"/>
          </w:tcPr>
          <w:p w14:paraId="75B8444C">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9.900</w:t>
            </w:r>
          </w:p>
          <w:p w14:paraId="0ED6FF9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(8.900-55.800)</w:t>
            </w:r>
          </w:p>
        </w:tc>
        <w:tc>
          <w:tcPr>
            <w:tcW w:w="907" w:type="dxa"/>
            <w:vAlign w:val="center"/>
          </w:tcPr>
          <w:p w14:paraId="4B171619">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564D7D0E">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524AF6A9">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AST (U/L), median (IQR)</w:t>
            </w:r>
          </w:p>
        </w:tc>
        <w:tc>
          <w:tcPr>
            <w:tcW w:w="1757" w:type="dxa"/>
            <w:vAlign w:val="center"/>
          </w:tcPr>
          <w:p w14:paraId="59037408">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82.500</w:t>
            </w:r>
          </w:p>
          <w:p w14:paraId="242044EA">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(51.075-97.200)</w:t>
            </w:r>
          </w:p>
        </w:tc>
        <w:tc>
          <w:tcPr>
            <w:tcW w:w="1757" w:type="dxa"/>
            <w:vAlign w:val="center"/>
          </w:tcPr>
          <w:p w14:paraId="3F8C4884">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42.300</w:t>
            </w:r>
          </w:p>
          <w:p w14:paraId="4E5DEF52">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(18.300-75.000)</w:t>
            </w:r>
          </w:p>
        </w:tc>
        <w:tc>
          <w:tcPr>
            <w:tcW w:w="1757" w:type="dxa"/>
            <w:vAlign w:val="center"/>
          </w:tcPr>
          <w:p w14:paraId="4E87D02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28.850</w:t>
            </w:r>
          </w:p>
          <w:p w14:paraId="51B142E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(9.800-62.625)</w:t>
            </w:r>
          </w:p>
        </w:tc>
        <w:tc>
          <w:tcPr>
            <w:tcW w:w="907" w:type="dxa"/>
            <w:vAlign w:val="center"/>
          </w:tcPr>
          <w:p w14:paraId="3F3ED530">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5C0FFE80">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3299C430">
            <w:pPr>
              <w:widowControl/>
              <w:spacing w:after="0" w:line="340" w:lineRule="exact"/>
              <w:jc w:val="both"/>
              <w:rPr>
                <w:rFonts w:ascii="Times New Roman" w:hAnsi="Times New Roman" w:eastAsia="等线" w:cs="Times New Roman"/>
                <w:sz w:val="18"/>
                <w:szCs w:val="18"/>
              </w:rPr>
            </w:pPr>
            <w:r>
              <w:rPr>
                <w:rFonts w:ascii="Times New Roman" w:hAnsi="Times New Roman" w:eastAsia="等线" w:cs="Times New Roman"/>
                <w:sz w:val="18"/>
                <w:szCs w:val="18"/>
              </w:rPr>
              <w:t>BUN (mg/dL)</w:t>
            </w:r>
            <w:r>
              <w:rPr>
                <w:rFonts w:ascii="Times New Roman" w:hAnsi="Times New Roman" w:eastAsia="等线" w:cs="Times New Roman"/>
                <w:color w:val="000000"/>
                <w:sz w:val="18"/>
                <w:szCs w:val="18"/>
              </w:rPr>
              <w:t>, median (IQR)</w:t>
            </w:r>
          </w:p>
        </w:tc>
        <w:tc>
          <w:tcPr>
            <w:tcW w:w="1757" w:type="dxa"/>
            <w:vAlign w:val="center"/>
          </w:tcPr>
          <w:p w14:paraId="2F337D2D">
            <w:pPr>
              <w:widowControl/>
              <w:spacing w:after="0" w:line="320" w:lineRule="exact"/>
              <w:ind w:firstLine="180" w:firstLineChars="100"/>
              <w:jc w:val="center"/>
              <w:rPr>
                <w:rFonts w:ascii="Times New Roman" w:hAnsi="Times New Roman" w:eastAsia="等线" w:cs="Times New Roman"/>
                <w:sz w:val="18"/>
                <w:szCs w:val="18"/>
              </w:rPr>
            </w:pPr>
            <w:r>
              <w:rPr>
                <w:rFonts w:ascii="Times New Roman" w:hAnsi="Times New Roman" w:eastAsia="等线" w:cs="Times New Roman"/>
                <w:sz w:val="18"/>
                <w:szCs w:val="18"/>
              </w:rPr>
              <w:t>9.590</w:t>
            </w:r>
          </w:p>
          <w:p w14:paraId="3DD82767">
            <w:pPr>
              <w:widowControl/>
              <w:spacing w:after="0" w:line="320" w:lineRule="exact"/>
              <w:ind w:firstLine="180" w:firstLineChars="100"/>
              <w:jc w:val="center"/>
              <w:rPr>
                <w:rFonts w:ascii="Times New Roman" w:hAnsi="Times New Roman" w:eastAsia="等线" w:cs="Times New Roman"/>
                <w:sz w:val="18"/>
                <w:szCs w:val="18"/>
              </w:rPr>
            </w:pPr>
            <w:r>
              <w:rPr>
                <w:rFonts w:ascii="Times New Roman" w:hAnsi="Times New Roman" w:eastAsia="等线" w:cs="Times New Roman"/>
                <w:sz w:val="18"/>
                <w:szCs w:val="18"/>
              </w:rPr>
              <w:t>(8.612-9.970)</w:t>
            </w:r>
          </w:p>
        </w:tc>
        <w:tc>
          <w:tcPr>
            <w:tcW w:w="1757" w:type="dxa"/>
            <w:vAlign w:val="center"/>
          </w:tcPr>
          <w:p w14:paraId="4B8E3CAF">
            <w:pPr>
              <w:widowControl/>
              <w:spacing w:after="0" w:line="320" w:lineRule="exact"/>
              <w:ind w:firstLine="180" w:firstLineChars="100"/>
              <w:jc w:val="center"/>
              <w:rPr>
                <w:rFonts w:ascii="Times New Roman" w:hAnsi="Times New Roman" w:eastAsia="等线" w:cs="Times New Roman"/>
                <w:sz w:val="18"/>
                <w:szCs w:val="18"/>
              </w:rPr>
            </w:pPr>
            <w:r>
              <w:rPr>
                <w:rFonts w:ascii="Times New Roman" w:hAnsi="Times New Roman" w:eastAsia="等线" w:cs="Times New Roman"/>
                <w:sz w:val="18"/>
                <w:szCs w:val="18"/>
              </w:rPr>
              <w:t>9.560</w:t>
            </w:r>
          </w:p>
          <w:p w14:paraId="30AF900D">
            <w:pPr>
              <w:widowControl/>
              <w:spacing w:after="0" w:line="320" w:lineRule="exact"/>
              <w:ind w:firstLine="180" w:firstLineChars="100"/>
              <w:jc w:val="center"/>
              <w:rPr>
                <w:rFonts w:ascii="Times New Roman" w:hAnsi="Times New Roman" w:eastAsia="等线" w:cs="Times New Roman"/>
                <w:sz w:val="18"/>
                <w:szCs w:val="18"/>
              </w:rPr>
            </w:pPr>
            <w:r>
              <w:rPr>
                <w:rFonts w:ascii="Times New Roman" w:hAnsi="Times New Roman" w:eastAsia="等线" w:cs="Times New Roman"/>
                <w:sz w:val="18"/>
                <w:szCs w:val="18"/>
              </w:rPr>
              <w:t>(8.335-21.285)</w:t>
            </w:r>
          </w:p>
        </w:tc>
        <w:tc>
          <w:tcPr>
            <w:tcW w:w="1757" w:type="dxa"/>
            <w:vAlign w:val="center"/>
          </w:tcPr>
          <w:p w14:paraId="4AC0EE69">
            <w:pPr>
              <w:widowControl/>
              <w:spacing w:after="0" w:line="320" w:lineRule="exact"/>
              <w:ind w:firstLine="180" w:firstLineChars="100"/>
              <w:jc w:val="center"/>
              <w:rPr>
                <w:rFonts w:ascii="Times New Roman" w:hAnsi="Times New Roman" w:eastAsia="等线" w:cs="Times New Roman"/>
                <w:sz w:val="18"/>
                <w:szCs w:val="18"/>
              </w:rPr>
            </w:pPr>
            <w:r>
              <w:rPr>
                <w:rFonts w:ascii="Times New Roman" w:hAnsi="Times New Roman" w:eastAsia="等线" w:cs="Times New Roman"/>
                <w:sz w:val="18"/>
                <w:szCs w:val="18"/>
              </w:rPr>
              <w:t>9.600</w:t>
            </w:r>
          </w:p>
          <w:p w14:paraId="13B60314">
            <w:pPr>
              <w:widowControl/>
              <w:spacing w:after="0" w:line="320" w:lineRule="exact"/>
              <w:ind w:firstLine="180" w:firstLineChars="100"/>
              <w:jc w:val="center"/>
              <w:rPr>
                <w:rFonts w:ascii="Times New Roman" w:hAnsi="Times New Roman" w:eastAsia="等线" w:cs="Times New Roman"/>
                <w:sz w:val="18"/>
                <w:szCs w:val="18"/>
              </w:rPr>
            </w:pPr>
            <w:r>
              <w:rPr>
                <w:rFonts w:ascii="Times New Roman" w:hAnsi="Times New Roman" w:eastAsia="等线" w:cs="Times New Roman"/>
                <w:sz w:val="18"/>
                <w:szCs w:val="18"/>
              </w:rPr>
              <w:t>(8.210-19.885)</w:t>
            </w:r>
          </w:p>
        </w:tc>
        <w:tc>
          <w:tcPr>
            <w:tcW w:w="907" w:type="dxa"/>
            <w:vAlign w:val="center"/>
          </w:tcPr>
          <w:p w14:paraId="0E9518EC">
            <w:pPr>
              <w:widowControl/>
              <w:spacing w:after="0" w:line="340" w:lineRule="exact"/>
              <w:jc w:val="center"/>
              <w:rPr>
                <w:rFonts w:ascii="Times New Roman" w:hAnsi="Times New Roman" w:eastAsia="等线" w:cs="Times New Roman"/>
                <w:sz w:val="18"/>
                <w:szCs w:val="18"/>
              </w:rPr>
            </w:pPr>
            <w:r>
              <w:rPr>
                <w:rFonts w:ascii="Times New Roman" w:hAnsi="Times New Roman" w:eastAsia="等线" w:cs="Times New Roman"/>
                <w:sz w:val="18"/>
                <w:szCs w:val="18"/>
              </w:rPr>
              <w:t>0.146</w:t>
            </w:r>
          </w:p>
        </w:tc>
      </w:tr>
      <w:tr w14:paraId="21BC4EAF">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00823A9D">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SCR (</w:t>
            </w:r>
            <w:r>
              <w:rPr>
                <w:rFonts w:hint="eastAsia" w:ascii="Times New Roman" w:hAnsi="Times New Roman" w:eastAsia="等线" w:cs="Times New Roman"/>
                <w:color w:val="000000"/>
                <w:sz w:val="18"/>
                <w:szCs w:val="18"/>
              </w:rPr>
              <w:t>μmol/L</w:t>
            </w:r>
            <w:r>
              <w:rPr>
                <w:rFonts w:ascii="Times New Roman" w:hAnsi="Times New Roman" w:eastAsia="等线" w:cs="Times New Roman"/>
                <w:color w:val="000000"/>
                <w:sz w:val="18"/>
                <w:szCs w:val="18"/>
              </w:rPr>
              <w:t>), median (IQR)</w:t>
            </w:r>
          </w:p>
        </w:tc>
        <w:tc>
          <w:tcPr>
            <w:tcW w:w="1757" w:type="dxa"/>
            <w:vAlign w:val="center"/>
          </w:tcPr>
          <w:p w14:paraId="615A5353">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95.100</w:t>
            </w:r>
          </w:p>
          <w:p w14:paraId="15B61134">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(82.750-159.475)</w:t>
            </w:r>
          </w:p>
        </w:tc>
        <w:tc>
          <w:tcPr>
            <w:tcW w:w="1757" w:type="dxa"/>
            <w:vAlign w:val="center"/>
          </w:tcPr>
          <w:p w14:paraId="5F04E35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97.100</w:t>
            </w:r>
          </w:p>
          <w:p w14:paraId="5EBFC59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(83.650-365.525)</w:t>
            </w:r>
          </w:p>
        </w:tc>
        <w:tc>
          <w:tcPr>
            <w:tcW w:w="1757" w:type="dxa"/>
            <w:vAlign w:val="center"/>
          </w:tcPr>
          <w:p w14:paraId="6F9322B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98.600</w:t>
            </w:r>
          </w:p>
          <w:p w14:paraId="2CDAF7E4">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(74.875-442.125)</w:t>
            </w:r>
          </w:p>
        </w:tc>
        <w:tc>
          <w:tcPr>
            <w:tcW w:w="907" w:type="dxa"/>
            <w:vAlign w:val="center"/>
          </w:tcPr>
          <w:p w14:paraId="75AB4EEE">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62474F6A">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282ACE5D">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Lac (mmol/L), median (IQR)</w:t>
            </w:r>
          </w:p>
        </w:tc>
        <w:tc>
          <w:tcPr>
            <w:tcW w:w="1757" w:type="dxa"/>
            <w:vAlign w:val="center"/>
          </w:tcPr>
          <w:p w14:paraId="7ED7DEC2">
            <w:pPr>
              <w:widowControl/>
              <w:spacing w:after="0" w:line="320" w:lineRule="exact"/>
              <w:ind w:firstLine="180" w:firstLineChars="100"/>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5.235</w:t>
            </w:r>
          </w:p>
          <w:p w14:paraId="39D74C9D">
            <w:pPr>
              <w:widowControl/>
              <w:spacing w:after="0" w:line="320" w:lineRule="exact"/>
              <w:ind w:firstLine="180" w:firstLineChars="100"/>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 xml:space="preserve"> (2.900–8.275) </w:t>
            </w:r>
          </w:p>
        </w:tc>
        <w:tc>
          <w:tcPr>
            <w:tcW w:w="1757" w:type="dxa"/>
            <w:vAlign w:val="center"/>
          </w:tcPr>
          <w:p w14:paraId="3555071A">
            <w:pPr>
              <w:widowControl/>
              <w:spacing w:after="0" w:line="320" w:lineRule="exact"/>
              <w:ind w:firstLine="180" w:firstLineChars="100"/>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2.700</w:t>
            </w:r>
          </w:p>
          <w:p w14:paraId="23E86D33">
            <w:pPr>
              <w:widowControl/>
              <w:spacing w:after="0" w:line="320" w:lineRule="exact"/>
              <w:ind w:firstLine="180" w:firstLineChars="100"/>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 xml:space="preserve"> (1.890–4.500)</w:t>
            </w:r>
          </w:p>
        </w:tc>
        <w:tc>
          <w:tcPr>
            <w:tcW w:w="1757" w:type="dxa"/>
            <w:vAlign w:val="center"/>
          </w:tcPr>
          <w:p w14:paraId="7B0F168E">
            <w:pPr>
              <w:widowControl/>
              <w:spacing w:after="0" w:line="320" w:lineRule="exact"/>
              <w:ind w:firstLine="180" w:firstLineChars="100"/>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2.400</w:t>
            </w:r>
          </w:p>
          <w:p w14:paraId="09A18D22">
            <w:pPr>
              <w:widowControl/>
              <w:spacing w:after="0" w:line="320" w:lineRule="exact"/>
              <w:ind w:firstLine="180" w:firstLineChars="100"/>
              <w:jc w:val="center"/>
              <w:rPr>
                <w:rFonts w:ascii="Times New Roman" w:hAnsi="Times New Roman" w:eastAsia="等线" w:cs="Times New Roman"/>
                <w:color w:val="000000"/>
                <w:sz w:val="18"/>
                <w:szCs w:val="18"/>
              </w:rPr>
            </w:pPr>
            <w:r>
              <w:rPr>
                <w:rFonts w:hint="eastAsia" w:ascii="Times New Roman" w:hAnsi="Times New Roman" w:eastAsia="等线" w:cs="Times New Roman"/>
                <w:color w:val="000000"/>
                <w:sz w:val="18"/>
                <w:szCs w:val="18"/>
              </w:rPr>
              <w:t xml:space="preserve"> (1.700–3.425)</w:t>
            </w:r>
          </w:p>
        </w:tc>
        <w:tc>
          <w:tcPr>
            <w:tcW w:w="907" w:type="dxa"/>
            <w:vAlign w:val="center"/>
          </w:tcPr>
          <w:p w14:paraId="308B5862">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639D52D9">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4A14B567">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LDH (U/L), median (IQR)</w:t>
            </w:r>
          </w:p>
        </w:tc>
        <w:tc>
          <w:tcPr>
            <w:tcW w:w="1757" w:type="dxa"/>
            <w:vAlign w:val="center"/>
          </w:tcPr>
          <w:p w14:paraId="204BD53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756.400</w:t>
            </w:r>
          </w:p>
          <w:p w14:paraId="4BCABBD2">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(568.450-926.500)</w:t>
            </w:r>
          </w:p>
        </w:tc>
        <w:tc>
          <w:tcPr>
            <w:tcW w:w="1757" w:type="dxa"/>
            <w:vAlign w:val="center"/>
          </w:tcPr>
          <w:p w14:paraId="02680C97">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346.800</w:t>
            </w:r>
          </w:p>
          <w:p w14:paraId="0FD064B6">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(271.800-451.150)</w:t>
            </w:r>
          </w:p>
        </w:tc>
        <w:tc>
          <w:tcPr>
            <w:tcW w:w="1757" w:type="dxa"/>
            <w:vAlign w:val="center"/>
          </w:tcPr>
          <w:p w14:paraId="6F2DFF9E">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261.400</w:t>
            </w:r>
          </w:p>
          <w:p w14:paraId="7E09B27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(189.000-337.150)</w:t>
            </w:r>
          </w:p>
        </w:tc>
        <w:tc>
          <w:tcPr>
            <w:tcW w:w="907" w:type="dxa"/>
            <w:vAlign w:val="center"/>
          </w:tcPr>
          <w:p w14:paraId="587FB65D">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3821C040">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4DBD577A">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HGB (g/L), median (IQR)</w:t>
            </w:r>
          </w:p>
        </w:tc>
        <w:tc>
          <w:tcPr>
            <w:tcW w:w="1757" w:type="dxa"/>
            <w:vAlign w:val="center"/>
          </w:tcPr>
          <w:p w14:paraId="1F23EFD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97.699 (18.077)</w:t>
            </w:r>
          </w:p>
        </w:tc>
        <w:tc>
          <w:tcPr>
            <w:tcW w:w="1757" w:type="dxa"/>
            <w:vAlign w:val="center"/>
          </w:tcPr>
          <w:p w14:paraId="4B15C7E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101.689 (20.404)</w:t>
            </w:r>
          </w:p>
        </w:tc>
        <w:tc>
          <w:tcPr>
            <w:tcW w:w="1757" w:type="dxa"/>
            <w:vAlign w:val="center"/>
          </w:tcPr>
          <w:p w14:paraId="154CE084">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102.360 (22.105)</w:t>
            </w:r>
          </w:p>
        </w:tc>
        <w:tc>
          <w:tcPr>
            <w:tcW w:w="907" w:type="dxa"/>
            <w:vAlign w:val="center"/>
          </w:tcPr>
          <w:p w14:paraId="00832690">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45DDA015">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06D4F67B">
            <w:pPr>
              <w:widowControl/>
              <w:spacing w:after="0" w:line="340" w:lineRule="exact"/>
              <w:rPr>
                <w:rFonts w:ascii="Times New Roman" w:hAnsi="Times New Roman" w:eastAsia="等线" w:cs="Times New Roman"/>
                <w:color w:val="000000"/>
                <w:sz w:val="18"/>
                <w:szCs w:val="18"/>
              </w:rPr>
            </w:pPr>
            <w:r>
              <w:rPr>
                <w:rFonts w:ascii="Times New Roman" w:hAnsi="Times New Roman" w:eastAsia="等线" w:cs="Times New Roman"/>
                <w:sz w:val="18"/>
                <w:szCs w:val="18"/>
              </w:rPr>
              <w:t>Fibrinogen (g/L), mean (SD)</w:t>
            </w:r>
          </w:p>
        </w:tc>
        <w:tc>
          <w:tcPr>
            <w:tcW w:w="1757" w:type="dxa"/>
            <w:vAlign w:val="center"/>
          </w:tcPr>
          <w:p w14:paraId="53A956CB">
            <w:pPr>
              <w:widowControl/>
              <w:spacing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4.788 (1.915)</w:t>
            </w:r>
          </w:p>
        </w:tc>
        <w:tc>
          <w:tcPr>
            <w:tcW w:w="1757" w:type="dxa"/>
            <w:vAlign w:val="center"/>
          </w:tcPr>
          <w:p w14:paraId="0E6A9BCB">
            <w:pPr>
              <w:widowControl/>
              <w:spacing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4.911 (1.798)</w:t>
            </w:r>
          </w:p>
        </w:tc>
        <w:tc>
          <w:tcPr>
            <w:tcW w:w="1757" w:type="dxa"/>
            <w:vAlign w:val="center"/>
          </w:tcPr>
          <w:p w14:paraId="534BD81C">
            <w:pPr>
              <w:widowControl/>
              <w:spacing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5.411 (1.639)</w:t>
            </w:r>
          </w:p>
        </w:tc>
        <w:tc>
          <w:tcPr>
            <w:tcW w:w="907" w:type="dxa"/>
            <w:vAlign w:val="center"/>
          </w:tcPr>
          <w:p w14:paraId="7928A3D1">
            <w:pPr>
              <w:widowControl/>
              <w:spacing w:line="340" w:lineRule="exact"/>
              <w:jc w:val="center"/>
              <w:rPr>
                <w:rFonts w:ascii="Times New Roman" w:hAnsi="Times New Roman" w:eastAsia="等线" w:cs="Times New Roman"/>
                <w:color w:val="000000"/>
                <w:sz w:val="18"/>
                <w:szCs w:val="18"/>
              </w:rPr>
            </w:pPr>
            <w:bookmarkStart w:id="5" w:name="OLE_LINK90"/>
            <w:r>
              <w:rPr>
                <w:rFonts w:ascii="Times New Roman" w:hAnsi="Times New Roman" w:eastAsia="等线" w:cs="Times New Roman"/>
                <w:color w:val="000000"/>
                <w:sz w:val="18"/>
                <w:szCs w:val="18"/>
              </w:rPr>
              <w:t>&lt;0.001</w:t>
            </w:r>
            <w:bookmarkEnd w:id="5"/>
          </w:p>
        </w:tc>
      </w:tr>
      <w:tr w14:paraId="199F6894">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4C489491">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D-dimer (mg/L), median (IQR)</w:t>
            </w:r>
          </w:p>
        </w:tc>
        <w:tc>
          <w:tcPr>
            <w:tcW w:w="1757" w:type="dxa"/>
            <w:vAlign w:val="center"/>
          </w:tcPr>
          <w:p w14:paraId="5C315E57">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9.215</w:t>
            </w:r>
          </w:p>
          <w:p w14:paraId="2E1536C4">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(5.900-20.000)</w:t>
            </w:r>
          </w:p>
        </w:tc>
        <w:tc>
          <w:tcPr>
            <w:tcW w:w="1757" w:type="dxa"/>
            <w:vAlign w:val="center"/>
          </w:tcPr>
          <w:p w14:paraId="7662B35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5.980</w:t>
            </w:r>
          </w:p>
          <w:p w14:paraId="7EE223F4">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(2.900-8.950)</w:t>
            </w:r>
          </w:p>
        </w:tc>
        <w:tc>
          <w:tcPr>
            <w:tcW w:w="1757" w:type="dxa"/>
            <w:vAlign w:val="center"/>
          </w:tcPr>
          <w:p w14:paraId="605D0ABC">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4.155</w:t>
            </w:r>
          </w:p>
          <w:p w14:paraId="31D4DBD1">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(2.070-7.715)</w:t>
            </w:r>
          </w:p>
        </w:tc>
        <w:tc>
          <w:tcPr>
            <w:tcW w:w="907" w:type="dxa"/>
            <w:vAlign w:val="center"/>
          </w:tcPr>
          <w:p w14:paraId="76AAB1DF">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3721C7F0">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25E58EA6">
            <w:pPr>
              <w:widowControl/>
              <w:spacing w:after="0" w:line="340" w:lineRule="exact"/>
              <w:jc w:val="both"/>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cTnT (</w:t>
            </w:r>
            <w:r>
              <w:rPr>
                <w:rFonts w:hint="eastAsia" w:ascii="Times New Roman" w:hAnsi="Times New Roman" w:eastAsia="等线" w:cs="Times New Roman"/>
                <w:color w:val="000000"/>
                <w:sz w:val="18"/>
                <w:szCs w:val="18"/>
              </w:rPr>
              <w:t>n</w:t>
            </w:r>
            <w:r>
              <w:rPr>
                <w:rFonts w:ascii="Times New Roman" w:hAnsi="Times New Roman" w:eastAsia="等线" w:cs="Times New Roman"/>
                <w:color w:val="000000"/>
                <w:sz w:val="18"/>
                <w:szCs w:val="18"/>
              </w:rPr>
              <w:t>g/</w:t>
            </w:r>
            <w:r>
              <w:rPr>
                <w:rFonts w:hint="eastAsia" w:ascii="Times New Roman" w:hAnsi="Times New Roman" w:eastAsia="等线" w:cs="Times New Roman"/>
                <w:color w:val="000000"/>
                <w:sz w:val="18"/>
                <w:szCs w:val="18"/>
              </w:rPr>
              <w:t>m</w:t>
            </w:r>
            <w:r>
              <w:rPr>
                <w:rFonts w:ascii="Times New Roman" w:hAnsi="Times New Roman" w:eastAsia="等线" w:cs="Times New Roman"/>
                <w:color w:val="000000"/>
                <w:sz w:val="18"/>
                <w:szCs w:val="18"/>
              </w:rPr>
              <w:t>L), median (IQR)</w:t>
            </w:r>
          </w:p>
        </w:tc>
        <w:tc>
          <w:tcPr>
            <w:tcW w:w="1757" w:type="dxa"/>
            <w:vAlign w:val="center"/>
          </w:tcPr>
          <w:p w14:paraId="27E584CF">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0.151</w:t>
            </w:r>
          </w:p>
          <w:p w14:paraId="2A33DC93">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(0.061-0.401)</w:t>
            </w:r>
          </w:p>
        </w:tc>
        <w:tc>
          <w:tcPr>
            <w:tcW w:w="1757" w:type="dxa"/>
            <w:vAlign w:val="center"/>
          </w:tcPr>
          <w:p w14:paraId="11D9B736">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0.087</w:t>
            </w:r>
          </w:p>
          <w:p w14:paraId="2221192C">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(0.036-0.189)</w:t>
            </w:r>
          </w:p>
        </w:tc>
        <w:tc>
          <w:tcPr>
            <w:tcW w:w="1757" w:type="dxa"/>
            <w:vAlign w:val="center"/>
          </w:tcPr>
          <w:p w14:paraId="4A2A8030">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0.059</w:t>
            </w:r>
          </w:p>
          <w:p w14:paraId="3F3D7185">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(0.027-0.131)</w:t>
            </w:r>
          </w:p>
        </w:tc>
        <w:tc>
          <w:tcPr>
            <w:tcW w:w="907" w:type="dxa"/>
            <w:vAlign w:val="center"/>
          </w:tcPr>
          <w:p w14:paraId="6C8C4E43">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6F1D7A79">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6AE991CD">
            <w:pPr>
              <w:widowControl/>
              <w:spacing w:after="0" w:line="340" w:lineRule="exact"/>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Myoglobin (ng/</w:t>
            </w:r>
            <w:r>
              <w:rPr>
                <w:rFonts w:hint="eastAsia" w:ascii="Times New Roman" w:hAnsi="Times New Roman" w:eastAsia="等线" w:cs="Times New Roman"/>
                <w:color w:val="000000"/>
                <w:sz w:val="18"/>
                <w:szCs w:val="18"/>
              </w:rPr>
              <w:t>m</w:t>
            </w:r>
            <w:r>
              <w:rPr>
                <w:rFonts w:ascii="Times New Roman" w:hAnsi="Times New Roman" w:eastAsia="等线" w:cs="Times New Roman"/>
                <w:color w:val="000000"/>
                <w:sz w:val="18"/>
                <w:szCs w:val="18"/>
              </w:rPr>
              <w:t>L), median (IQR)</w:t>
            </w:r>
          </w:p>
        </w:tc>
        <w:tc>
          <w:tcPr>
            <w:tcW w:w="1757" w:type="dxa"/>
            <w:vAlign w:val="center"/>
          </w:tcPr>
          <w:p w14:paraId="70951F15">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97.650</w:t>
            </w:r>
          </w:p>
          <w:p w14:paraId="2153DA81">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(61.375-857.500)</w:t>
            </w:r>
          </w:p>
        </w:tc>
        <w:tc>
          <w:tcPr>
            <w:tcW w:w="1757" w:type="dxa"/>
            <w:vAlign w:val="center"/>
          </w:tcPr>
          <w:p w14:paraId="6C45203F">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92.850</w:t>
            </w:r>
          </w:p>
          <w:p w14:paraId="4CA1AEC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(57.150-265.700)</w:t>
            </w:r>
          </w:p>
        </w:tc>
        <w:tc>
          <w:tcPr>
            <w:tcW w:w="1757" w:type="dxa"/>
            <w:vAlign w:val="center"/>
          </w:tcPr>
          <w:p w14:paraId="7E4E20B6">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79.200</w:t>
            </w:r>
          </w:p>
          <w:p w14:paraId="36EE83B7">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(21.000-98.800)</w:t>
            </w:r>
          </w:p>
        </w:tc>
        <w:tc>
          <w:tcPr>
            <w:tcW w:w="907" w:type="dxa"/>
            <w:vAlign w:val="center"/>
          </w:tcPr>
          <w:p w14:paraId="478B5A4D">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61A91DE9">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5C2B5B2E">
            <w:pPr>
              <w:widowControl/>
              <w:spacing w:after="0" w:line="340" w:lineRule="exact"/>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CK-MB (μg/L), median (IQR)</w:t>
            </w:r>
          </w:p>
        </w:tc>
        <w:tc>
          <w:tcPr>
            <w:tcW w:w="1757" w:type="dxa"/>
            <w:vAlign w:val="center"/>
          </w:tcPr>
          <w:p w14:paraId="1BCD5EE3">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5.360</w:t>
            </w:r>
          </w:p>
          <w:p w14:paraId="3FD833B2">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(2.185-8.668)</w:t>
            </w:r>
          </w:p>
        </w:tc>
        <w:tc>
          <w:tcPr>
            <w:tcW w:w="1757" w:type="dxa"/>
            <w:vAlign w:val="center"/>
          </w:tcPr>
          <w:p w14:paraId="33BAD626">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3.235</w:t>
            </w:r>
          </w:p>
          <w:p w14:paraId="7668E46E">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(1.548-5.785)</w:t>
            </w:r>
          </w:p>
        </w:tc>
        <w:tc>
          <w:tcPr>
            <w:tcW w:w="1757" w:type="dxa"/>
            <w:vAlign w:val="center"/>
          </w:tcPr>
          <w:p w14:paraId="3F342F9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2.340</w:t>
            </w:r>
          </w:p>
          <w:p w14:paraId="7AE4C4E5">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(1.220-4.540)</w:t>
            </w:r>
          </w:p>
        </w:tc>
        <w:tc>
          <w:tcPr>
            <w:tcW w:w="907" w:type="dxa"/>
            <w:vAlign w:val="center"/>
          </w:tcPr>
          <w:p w14:paraId="2CD2F782">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&lt;0.001</w:t>
            </w:r>
          </w:p>
        </w:tc>
      </w:tr>
      <w:tr w14:paraId="5783DB0D">
        <w:tblPrEx>
          <w:tblCellMar>
            <w:top w:w="0" w:type="dxa"/>
            <w:left w:w="108" w:type="dxa"/>
            <w:bottom w:w="0" w:type="dxa"/>
            <w:right w:w="108" w:type="dxa"/>
          </w:tblCellMar>
        </w:tblPrEx>
        <w:trPr>
          <w:trHeight w:val="312" w:hRule="atLeast"/>
        </w:trPr>
        <w:tc>
          <w:tcPr>
            <w:tcW w:w="2778" w:type="dxa"/>
            <w:tcBorders>
              <w:top w:val="nil"/>
              <w:left w:val="nil"/>
              <w:bottom w:val="nil"/>
              <w:right w:val="nil"/>
            </w:tcBorders>
            <w:noWrap/>
            <w:vAlign w:val="center"/>
          </w:tcPr>
          <w:p w14:paraId="6B6592ED">
            <w:pPr>
              <w:widowControl/>
              <w:spacing w:after="0" w:line="340" w:lineRule="exact"/>
              <w:rPr>
                <w:rFonts w:ascii="Times New Roman" w:hAnsi="Times New Roman" w:eastAsia="等线" w:cs="Times New Roman"/>
                <w:b/>
                <w:bCs/>
                <w:color w:val="000000"/>
                <w:sz w:val="18"/>
                <w:szCs w:val="18"/>
              </w:rPr>
            </w:pPr>
            <w:r>
              <w:rPr>
                <w:rFonts w:ascii="Times New Roman" w:hAnsi="Times New Roman" w:eastAsia="等线" w:cs="Times New Roman"/>
                <w:b/>
                <w:bCs/>
                <w:color w:val="000000"/>
                <w:sz w:val="18"/>
                <w:szCs w:val="18"/>
              </w:rPr>
              <w:t>Critical assessment on admission</w:t>
            </w:r>
          </w:p>
        </w:tc>
        <w:tc>
          <w:tcPr>
            <w:tcW w:w="1757" w:type="dxa"/>
            <w:vAlign w:val="center"/>
          </w:tcPr>
          <w:p w14:paraId="6B648DC5">
            <w:pPr>
              <w:widowControl/>
              <w:spacing w:after="0" w:line="320" w:lineRule="exact"/>
              <w:jc w:val="center"/>
              <w:rPr>
                <w:rFonts w:ascii="Times New Roman" w:hAnsi="Times New Roman" w:eastAsia="等线" w:cs="Times New Roman"/>
                <w:b/>
                <w:bCs/>
                <w:color w:val="000000"/>
                <w:sz w:val="18"/>
                <w:szCs w:val="18"/>
              </w:rPr>
            </w:pPr>
          </w:p>
        </w:tc>
        <w:tc>
          <w:tcPr>
            <w:tcW w:w="1757" w:type="dxa"/>
            <w:vAlign w:val="center"/>
          </w:tcPr>
          <w:p w14:paraId="4F7F14C5">
            <w:pPr>
              <w:widowControl/>
              <w:spacing w:after="0" w:line="320" w:lineRule="exact"/>
              <w:jc w:val="center"/>
              <w:rPr>
                <w:rFonts w:ascii="Times New Roman" w:hAnsi="Times New Roman" w:eastAsia="等线" w:cs="Times New Roman"/>
                <w:b/>
                <w:bCs/>
                <w:color w:val="000000"/>
                <w:sz w:val="18"/>
                <w:szCs w:val="18"/>
              </w:rPr>
            </w:pPr>
          </w:p>
        </w:tc>
        <w:tc>
          <w:tcPr>
            <w:tcW w:w="1757" w:type="dxa"/>
            <w:vAlign w:val="center"/>
          </w:tcPr>
          <w:p w14:paraId="12541E91">
            <w:pPr>
              <w:widowControl/>
              <w:spacing w:after="0" w:line="320" w:lineRule="exact"/>
              <w:jc w:val="center"/>
              <w:rPr>
                <w:rFonts w:ascii="Times New Roman" w:hAnsi="Times New Roman" w:eastAsia="等线" w:cs="Times New Roman"/>
                <w:b/>
                <w:bCs/>
                <w:color w:val="000000"/>
                <w:sz w:val="18"/>
                <w:szCs w:val="18"/>
              </w:rPr>
            </w:pPr>
          </w:p>
        </w:tc>
        <w:tc>
          <w:tcPr>
            <w:tcW w:w="907" w:type="dxa"/>
            <w:vAlign w:val="center"/>
          </w:tcPr>
          <w:p w14:paraId="28C120CD">
            <w:pPr>
              <w:widowControl/>
              <w:spacing w:after="0" w:line="340" w:lineRule="exact"/>
              <w:jc w:val="center"/>
              <w:rPr>
                <w:rFonts w:ascii="Times New Roman" w:hAnsi="Times New Roman" w:eastAsia="等线" w:cs="Times New Roman"/>
                <w:b/>
                <w:bCs/>
                <w:color w:val="000000"/>
                <w:sz w:val="18"/>
                <w:szCs w:val="18"/>
              </w:rPr>
            </w:pPr>
          </w:p>
        </w:tc>
      </w:tr>
      <w:tr w14:paraId="19235198">
        <w:tblPrEx>
          <w:tblCellMar>
            <w:top w:w="0" w:type="dxa"/>
            <w:left w:w="108" w:type="dxa"/>
            <w:bottom w:w="0" w:type="dxa"/>
            <w:right w:w="108" w:type="dxa"/>
          </w:tblCellMar>
        </w:tblPrEx>
        <w:trPr>
          <w:trHeight w:val="312" w:hRule="atLeast"/>
        </w:trPr>
        <w:tc>
          <w:tcPr>
            <w:tcW w:w="2778" w:type="dxa"/>
            <w:tcBorders>
              <w:top w:val="nil"/>
              <w:left w:val="nil"/>
              <w:right w:val="nil"/>
            </w:tcBorders>
            <w:noWrap/>
            <w:vAlign w:val="center"/>
          </w:tcPr>
          <w:p w14:paraId="03F4E656">
            <w:pPr>
              <w:widowControl/>
              <w:spacing w:after="0" w:line="340" w:lineRule="exact"/>
              <w:jc w:val="both"/>
              <w:rPr>
                <w:rFonts w:ascii="Times New Roman" w:hAnsi="Times New Roman" w:eastAsia="等线" w:cs="Times New Roman"/>
                <w:color w:val="000000"/>
                <w:sz w:val="18"/>
                <w:szCs w:val="18"/>
                <w:lang w:val="en-GB"/>
              </w:rPr>
            </w:pPr>
            <w:r>
              <w:rPr>
                <w:rFonts w:ascii="Times New Roman" w:hAnsi="Times New Roman" w:eastAsia="等线" w:cs="Times New Roman"/>
                <w:color w:val="000000"/>
                <w:sz w:val="18"/>
                <w:szCs w:val="18"/>
              </w:rPr>
              <w:t>SOFA score, median (IQR)</w:t>
            </w:r>
          </w:p>
        </w:tc>
        <w:tc>
          <w:tcPr>
            <w:tcW w:w="1757" w:type="dxa"/>
            <w:vAlign w:val="center"/>
          </w:tcPr>
          <w:p w14:paraId="0674B5A0">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6.000</w:t>
            </w:r>
          </w:p>
          <w:p w14:paraId="3C8C184B">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(5.000-8.000)</w:t>
            </w:r>
          </w:p>
        </w:tc>
        <w:tc>
          <w:tcPr>
            <w:tcW w:w="1757" w:type="dxa"/>
            <w:vAlign w:val="center"/>
          </w:tcPr>
          <w:p w14:paraId="761DEE5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5.000</w:t>
            </w:r>
          </w:p>
          <w:p w14:paraId="622C9EA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(3.000-6.000)</w:t>
            </w:r>
          </w:p>
        </w:tc>
        <w:tc>
          <w:tcPr>
            <w:tcW w:w="1757" w:type="dxa"/>
            <w:vAlign w:val="center"/>
          </w:tcPr>
          <w:p w14:paraId="5030A4B8">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4.000</w:t>
            </w:r>
          </w:p>
          <w:p w14:paraId="6E7501EA">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(3.000-4.000)</w:t>
            </w:r>
          </w:p>
        </w:tc>
        <w:tc>
          <w:tcPr>
            <w:tcW w:w="907" w:type="dxa"/>
            <w:vAlign w:val="center"/>
          </w:tcPr>
          <w:p w14:paraId="794E9E4A">
            <w:pPr>
              <w:widowControl/>
              <w:spacing w:after="0" w:line="340" w:lineRule="exact"/>
              <w:jc w:val="center"/>
              <w:rPr>
                <w:rFonts w:ascii="Times New Roman" w:hAnsi="Times New Roman" w:eastAsia="等线" w:cs="Times New Roman"/>
                <w:color w:val="000000"/>
                <w:sz w:val="18"/>
                <w:szCs w:val="18"/>
              </w:rPr>
            </w:pPr>
            <w:bookmarkStart w:id="6" w:name="OLE_LINK135"/>
            <w:r>
              <w:rPr>
                <w:rFonts w:ascii="Times New Roman" w:hAnsi="Times New Roman" w:eastAsia="等线" w:cs="Times New Roman"/>
                <w:color w:val="000000"/>
                <w:sz w:val="18"/>
                <w:szCs w:val="18"/>
              </w:rPr>
              <w:t>&lt;0.001</w:t>
            </w:r>
            <w:bookmarkEnd w:id="6"/>
          </w:p>
        </w:tc>
      </w:tr>
      <w:tr w14:paraId="7D187012">
        <w:tblPrEx>
          <w:tblCellMar>
            <w:top w:w="0" w:type="dxa"/>
            <w:left w:w="108" w:type="dxa"/>
            <w:bottom w:w="0" w:type="dxa"/>
            <w:right w:w="108" w:type="dxa"/>
          </w:tblCellMar>
        </w:tblPrEx>
        <w:trPr>
          <w:trHeight w:val="312" w:hRule="atLeast"/>
        </w:trPr>
        <w:tc>
          <w:tcPr>
            <w:tcW w:w="2778" w:type="dxa"/>
            <w:tcBorders>
              <w:top w:val="nil"/>
              <w:left w:val="nil"/>
              <w:bottom w:val="single" w:color="auto" w:sz="8" w:space="0"/>
              <w:right w:val="nil"/>
            </w:tcBorders>
            <w:noWrap/>
            <w:vAlign w:val="center"/>
          </w:tcPr>
          <w:p w14:paraId="35AF2480">
            <w:pPr>
              <w:widowControl/>
              <w:spacing w:after="0" w:line="340" w:lineRule="exact"/>
              <w:jc w:val="both"/>
              <w:rPr>
                <w:rFonts w:ascii="Times New Roman" w:hAnsi="Times New Roman" w:eastAsia="等线" w:cs="Times New Roman"/>
                <w:color w:val="000000"/>
                <w:sz w:val="18"/>
                <w:szCs w:val="18"/>
                <w:lang w:val="en-GB"/>
              </w:rPr>
            </w:pPr>
            <w:r>
              <w:rPr>
                <w:rFonts w:ascii="Times New Roman" w:hAnsi="Times New Roman" w:eastAsia="等线" w:cs="Times New Roman"/>
                <w:color w:val="000000"/>
                <w:sz w:val="18"/>
                <w:szCs w:val="18"/>
              </w:rPr>
              <w:t>CHARLSON score, median (IQR)</w:t>
            </w:r>
          </w:p>
        </w:tc>
        <w:tc>
          <w:tcPr>
            <w:tcW w:w="1757" w:type="dxa"/>
            <w:tcBorders>
              <w:bottom w:val="single" w:color="auto" w:sz="8" w:space="0"/>
            </w:tcBorders>
            <w:vAlign w:val="center"/>
          </w:tcPr>
          <w:p w14:paraId="0FB41D54">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2.000</w:t>
            </w:r>
          </w:p>
          <w:p w14:paraId="687F0BEC">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(0.000-3.000)</w:t>
            </w:r>
          </w:p>
        </w:tc>
        <w:tc>
          <w:tcPr>
            <w:tcW w:w="1757" w:type="dxa"/>
            <w:tcBorders>
              <w:bottom w:val="single" w:color="auto" w:sz="8" w:space="0"/>
            </w:tcBorders>
            <w:vAlign w:val="center"/>
          </w:tcPr>
          <w:p w14:paraId="058B3ECE">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2.000</w:t>
            </w:r>
          </w:p>
          <w:p w14:paraId="4BA343B3">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(0.000-3.000)</w:t>
            </w:r>
          </w:p>
        </w:tc>
        <w:tc>
          <w:tcPr>
            <w:tcW w:w="1757" w:type="dxa"/>
            <w:tcBorders>
              <w:bottom w:val="single" w:color="auto" w:sz="8" w:space="0"/>
            </w:tcBorders>
            <w:vAlign w:val="center"/>
          </w:tcPr>
          <w:p w14:paraId="7E365749">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2.000</w:t>
            </w:r>
          </w:p>
          <w:p w14:paraId="5248085D">
            <w:pPr>
              <w:widowControl/>
              <w:spacing w:after="0" w:line="320" w:lineRule="exact"/>
              <w:ind w:firstLine="180" w:firstLineChars="100"/>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(0.000-3.000)</w:t>
            </w:r>
          </w:p>
        </w:tc>
        <w:tc>
          <w:tcPr>
            <w:tcW w:w="907" w:type="dxa"/>
            <w:tcBorders>
              <w:bottom w:val="single" w:color="auto" w:sz="8" w:space="0"/>
            </w:tcBorders>
            <w:vAlign w:val="center"/>
          </w:tcPr>
          <w:p w14:paraId="7DE70F11">
            <w:pPr>
              <w:widowControl/>
              <w:spacing w:after="0" w:line="340" w:lineRule="exact"/>
              <w:jc w:val="center"/>
              <w:rPr>
                <w:rFonts w:ascii="Times New Roman" w:hAnsi="Times New Roman" w:eastAsia="等线" w:cs="Times New Roman"/>
                <w:color w:val="000000"/>
                <w:sz w:val="18"/>
                <w:szCs w:val="18"/>
              </w:rPr>
            </w:pPr>
            <w:r>
              <w:rPr>
                <w:rFonts w:ascii="Times New Roman" w:hAnsi="Times New Roman" w:eastAsia="等线" w:cs="Times New Roman"/>
                <w:color w:val="000000"/>
                <w:sz w:val="18"/>
                <w:szCs w:val="18"/>
              </w:rPr>
              <w:t>0.006</w:t>
            </w:r>
          </w:p>
        </w:tc>
      </w:tr>
    </w:tbl>
    <w:p w14:paraId="3812FC37">
      <w:pPr>
        <w:spacing w:line="360" w:lineRule="auto"/>
        <w:jc w:val="both"/>
        <w:rPr>
          <w:rFonts w:ascii="Times New Roman" w:hAnsi="Times New Roman" w:eastAsia="宋体" w:cs="Times New Roman"/>
          <w:sz w:val="20"/>
          <w:szCs w:val="20"/>
        </w:rPr>
      </w:pPr>
      <w:r>
        <w:rPr>
          <w:rFonts w:ascii="Times New Roman" w:hAnsi="Times New Roman" w:eastAsia="宋体" w:cs="Times New Roman"/>
          <w:sz w:val="20"/>
          <w:szCs w:val="20"/>
        </w:rPr>
        <w:t>Data are presented as mean ± standard deviation (SD) or median (interquartile range, IQR) for continuous variables, and as number (%) for categorical variables. Group comparisons were performed using Student's t-test or Mann</w:t>
      </w:r>
      <w:r>
        <w:rPr>
          <w:rFonts w:hint="eastAsia" w:ascii="Times New Roman" w:hAnsi="Times New Roman" w:eastAsia="宋体" w:cs="Times New Roman"/>
          <w:sz w:val="20"/>
          <w:szCs w:val="20"/>
        </w:rPr>
        <w:t>-</w:t>
      </w:r>
      <w:r>
        <w:rPr>
          <w:rFonts w:ascii="Times New Roman" w:hAnsi="Times New Roman" w:eastAsia="宋体" w:cs="Times New Roman"/>
          <w:sz w:val="20"/>
          <w:szCs w:val="20"/>
        </w:rPr>
        <w:t xml:space="preserve">Whitney U test for continuous variables, and the chi-square test or Fisher's exact test for categorical variables, as appropriate. SIMI, sepsis-induced myocardial injury; cTnT, cardiac troponin T; WBC, white blood cell count; RBC, red blood cell count; PLT, platelet count; PT, prothrombin time; INR, international normalized ratio; CRP, C-reactive protein; IL-6, interleukin-6; ALT, alanine aminotransferase; AST, aspartate aminotransferase; BUN, blood urea nitrogen; Scr, serum creatinine; Lac, lactate; LDH, lactate dehydrogenase; HGB, hemoglobin; CK-MB, </w:t>
      </w:r>
      <w:bookmarkStart w:id="7" w:name="OLE_LINK122"/>
      <w:r>
        <w:rPr>
          <w:rFonts w:ascii="Times New Roman" w:hAnsi="Times New Roman" w:eastAsia="宋体" w:cs="Times New Roman"/>
          <w:sz w:val="20"/>
          <w:szCs w:val="20"/>
        </w:rPr>
        <w:t>creatine kinase-MB</w:t>
      </w:r>
      <w:bookmarkEnd w:id="7"/>
      <w:r>
        <w:rPr>
          <w:rFonts w:ascii="Times New Roman" w:hAnsi="Times New Roman" w:eastAsia="宋体" w:cs="Times New Roman"/>
          <w:sz w:val="20"/>
          <w:szCs w:val="20"/>
        </w:rPr>
        <w:t>; SOFA, Sequential Organ Failure Assessment.</w:t>
      </w:r>
    </w:p>
    <w:p w14:paraId="485A2FD1">
      <w:pPr>
        <w:spacing w:line="360" w:lineRule="auto"/>
        <w:jc w:val="both"/>
        <w:rPr>
          <w:rFonts w:ascii="Times New Roman" w:hAnsi="Times New Roman" w:eastAsia="宋体" w:cs="Times New Roman"/>
          <w:sz w:val="20"/>
          <w:szCs w:val="20"/>
        </w:rPr>
      </w:pPr>
    </w:p>
    <w:p w14:paraId="4E9B9353">
      <w:pPr>
        <w:rPr>
          <w:rFonts w:ascii="Times New Roman" w:hAnsi="Times New Roman" w:cs="Times New Roman"/>
          <w:b/>
          <w:bCs/>
          <w:sz w:val="21"/>
          <w:szCs w:val="21"/>
        </w:rPr>
        <w:sectPr>
          <w:pgSz w:w="11906" w:h="16838"/>
          <w:pgMar w:top="1440" w:right="1800" w:bottom="1440" w:left="1800" w:header="851" w:footer="992" w:gutter="0"/>
          <w:cols w:space="425" w:num="1"/>
          <w:docGrid w:type="lines" w:linePitch="312" w:charSpace="0"/>
        </w:sectPr>
      </w:pPr>
    </w:p>
    <w:p w14:paraId="7AAF9CEB">
      <w:pPr>
        <w:rPr>
          <w:rFonts w:ascii="Times New Roman" w:hAnsi="Times New Roman" w:cs="Times New Roman"/>
          <w:b/>
          <w:bCs/>
          <w:sz w:val="21"/>
          <w:szCs w:val="21"/>
        </w:rPr>
      </w:pPr>
      <w:r>
        <w:rPr>
          <w:rFonts w:ascii="Times New Roman" w:hAnsi="Times New Roman" w:cs="Times New Roman"/>
          <w:b/>
          <w:bCs/>
          <w:sz w:val="21"/>
          <w:szCs w:val="21"/>
        </w:rPr>
        <w:t>Supplementary Table 2. Area under the curve (AUC) of PLT/LDH ratio, PLT, and LDH for predicting in-hospital mortality</w:t>
      </w:r>
    </w:p>
    <w:tbl>
      <w:tblPr>
        <w:tblStyle w:val="17"/>
        <w:tblW w:w="8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1"/>
        <w:gridCol w:w="2721"/>
        <w:gridCol w:w="2721"/>
      </w:tblGrid>
      <w:tr w14:paraId="2D73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Borders>
              <w:left w:val="nil"/>
              <w:bottom w:val="single" w:color="auto" w:sz="4" w:space="0"/>
              <w:right w:val="nil"/>
            </w:tcBorders>
          </w:tcPr>
          <w:p w14:paraId="439E7284">
            <w:pPr>
              <w:spacing w:after="0" w:line="240" w:lineRule="auto"/>
              <w:jc w:val="center"/>
              <w:rPr>
                <w:rFonts w:ascii="Times New Roman" w:hAnsi="Times New Roman" w:cs="Times New Roman"/>
                <w:sz w:val="20"/>
                <w:szCs w:val="20"/>
              </w:rPr>
            </w:pPr>
            <w:r>
              <w:rPr>
                <w:rFonts w:ascii="Times New Roman" w:hAnsi="Times New Roman" w:eastAsia="黑体" w:cs="Times New Roman"/>
                <w:b/>
                <w:bCs/>
                <w:w w:val="99"/>
                <w:kern w:val="0"/>
                <w:sz w:val="20"/>
                <w:szCs w:val="20"/>
                <w14:ligatures w14:val="none"/>
              </w:rPr>
              <w:t>Variables</w:t>
            </w:r>
          </w:p>
        </w:tc>
        <w:tc>
          <w:tcPr>
            <w:tcW w:w="2721" w:type="dxa"/>
            <w:tcBorders>
              <w:left w:val="nil"/>
              <w:bottom w:val="single" w:color="auto" w:sz="4" w:space="0"/>
              <w:right w:val="nil"/>
            </w:tcBorders>
          </w:tcPr>
          <w:p w14:paraId="10D00500">
            <w:pPr>
              <w:spacing w:after="0" w:line="240" w:lineRule="auto"/>
              <w:jc w:val="center"/>
              <w:rPr>
                <w:rFonts w:ascii="Times New Roman" w:hAnsi="Times New Roman" w:cs="Times New Roman"/>
                <w:sz w:val="20"/>
                <w:szCs w:val="20"/>
              </w:rPr>
            </w:pPr>
            <w:r>
              <w:rPr>
                <w:rFonts w:ascii="Times New Roman" w:hAnsi="Times New Roman" w:eastAsia="黑体" w:cs="Times New Roman"/>
                <w:b/>
                <w:bCs/>
                <w:w w:val="99"/>
                <w:kern w:val="0"/>
                <w:sz w:val="20"/>
                <w:szCs w:val="20"/>
                <w14:ligatures w14:val="none"/>
              </w:rPr>
              <w:t>AUC (95% CI)</w:t>
            </w:r>
          </w:p>
        </w:tc>
        <w:tc>
          <w:tcPr>
            <w:tcW w:w="2721" w:type="dxa"/>
            <w:tcBorders>
              <w:left w:val="nil"/>
              <w:bottom w:val="single" w:color="auto" w:sz="4" w:space="0"/>
              <w:right w:val="nil"/>
            </w:tcBorders>
          </w:tcPr>
          <w:p w14:paraId="06661CB1">
            <w:pPr>
              <w:spacing w:after="0" w:line="240" w:lineRule="auto"/>
              <w:jc w:val="center"/>
              <w:rPr>
                <w:rFonts w:ascii="Times New Roman" w:hAnsi="Times New Roman" w:cs="Times New Roman"/>
                <w:sz w:val="20"/>
                <w:szCs w:val="20"/>
              </w:rPr>
            </w:pPr>
            <w:r>
              <w:rPr>
                <w:rFonts w:hint="eastAsia" w:ascii="Times New Roman" w:hAnsi="Times New Roman" w:eastAsia="黑体" w:cs="Times New Roman"/>
                <w:b/>
                <w:bCs/>
                <w:i/>
                <w:iCs/>
                <w:w w:val="99"/>
                <w:kern w:val="0"/>
                <w:sz w:val="20"/>
                <w:szCs w:val="20"/>
                <w14:ligatures w14:val="none"/>
              </w:rPr>
              <w:t>p</w:t>
            </w:r>
            <w:r>
              <w:rPr>
                <w:rFonts w:ascii="Times New Roman" w:hAnsi="Times New Roman" w:eastAsia="黑体" w:cs="Times New Roman"/>
                <w:b/>
                <w:bCs/>
                <w:w w:val="99"/>
                <w:kern w:val="0"/>
                <w:sz w:val="20"/>
                <w:szCs w:val="20"/>
                <w14:ligatures w14:val="none"/>
              </w:rPr>
              <w:t xml:space="preserve"> value</w:t>
            </w:r>
          </w:p>
        </w:tc>
      </w:tr>
      <w:tr w14:paraId="6BC3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Borders>
              <w:left w:val="nil"/>
              <w:bottom w:val="nil"/>
              <w:right w:val="nil"/>
            </w:tcBorders>
          </w:tcPr>
          <w:p w14:paraId="7A0B5B6E">
            <w:pPr>
              <w:spacing w:after="0" w:line="240" w:lineRule="auto"/>
              <w:rPr>
                <w:rFonts w:ascii="Times New Roman" w:hAnsi="Times New Roman" w:cs="Times New Roman"/>
                <w:sz w:val="20"/>
                <w:szCs w:val="20"/>
              </w:rPr>
            </w:pPr>
            <w:r>
              <w:rPr>
                <w:rFonts w:ascii="Times New Roman" w:hAnsi="Times New Roman" w:cs="Times New Roman"/>
                <w:sz w:val="20"/>
                <w:szCs w:val="20"/>
              </w:rPr>
              <w:t>PLT/LDH</w:t>
            </w:r>
          </w:p>
        </w:tc>
        <w:tc>
          <w:tcPr>
            <w:tcW w:w="2721" w:type="dxa"/>
            <w:tcBorders>
              <w:left w:val="nil"/>
              <w:bottom w:val="nil"/>
              <w:right w:val="nil"/>
            </w:tcBorders>
          </w:tcPr>
          <w:p w14:paraId="36001911">
            <w:pPr>
              <w:spacing w:after="0" w:line="240" w:lineRule="auto"/>
              <w:jc w:val="center"/>
              <w:rPr>
                <w:rFonts w:ascii="Times New Roman" w:hAnsi="Times New Roman" w:cs="Times New Roman"/>
                <w:sz w:val="20"/>
                <w:szCs w:val="20"/>
              </w:rPr>
            </w:pPr>
            <w:r>
              <w:rPr>
                <w:rFonts w:ascii="Times New Roman" w:hAnsi="Times New Roman" w:eastAsia="宋体" w:cs="Times New Roman"/>
                <w:sz w:val="20"/>
                <w:szCs w:val="20"/>
              </w:rPr>
              <w:t>0.696</w:t>
            </w:r>
            <w:bookmarkStart w:id="8" w:name="OLE_LINK134"/>
            <w:r>
              <w:rPr>
                <w:rFonts w:ascii="Times New Roman" w:hAnsi="Times New Roman" w:eastAsia="宋体" w:cs="Times New Roman"/>
                <w:sz w:val="20"/>
                <w:szCs w:val="20"/>
              </w:rPr>
              <w:t xml:space="preserve"> (0.672-0.72)</w:t>
            </w:r>
            <w:bookmarkEnd w:id="8"/>
          </w:p>
        </w:tc>
        <w:tc>
          <w:tcPr>
            <w:tcW w:w="2721" w:type="dxa"/>
            <w:tcBorders>
              <w:left w:val="nil"/>
              <w:bottom w:val="nil"/>
              <w:right w:val="nil"/>
            </w:tcBorders>
          </w:tcPr>
          <w:p w14:paraId="7CACA193">
            <w:pPr>
              <w:spacing w:after="0" w:line="240" w:lineRule="auto"/>
              <w:jc w:val="center"/>
              <w:rPr>
                <w:rFonts w:ascii="Times New Roman" w:hAnsi="Times New Roman" w:cs="Times New Roman"/>
                <w:sz w:val="20"/>
                <w:szCs w:val="20"/>
              </w:rPr>
            </w:pPr>
          </w:p>
        </w:tc>
      </w:tr>
      <w:tr w14:paraId="3184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Borders>
              <w:top w:val="nil"/>
              <w:left w:val="nil"/>
              <w:bottom w:val="nil"/>
              <w:right w:val="nil"/>
            </w:tcBorders>
          </w:tcPr>
          <w:p w14:paraId="412648CC">
            <w:pPr>
              <w:spacing w:after="0" w:line="240" w:lineRule="auto"/>
              <w:rPr>
                <w:rFonts w:ascii="Times New Roman" w:hAnsi="Times New Roman" w:cs="Times New Roman"/>
                <w:sz w:val="20"/>
                <w:szCs w:val="20"/>
              </w:rPr>
            </w:pPr>
            <w:r>
              <w:rPr>
                <w:rFonts w:ascii="Times New Roman" w:hAnsi="Times New Roman" w:cs="Times New Roman"/>
                <w:sz w:val="20"/>
                <w:szCs w:val="20"/>
              </w:rPr>
              <w:t>PLT</w:t>
            </w:r>
          </w:p>
        </w:tc>
        <w:tc>
          <w:tcPr>
            <w:tcW w:w="2721" w:type="dxa"/>
            <w:tcBorders>
              <w:top w:val="nil"/>
              <w:left w:val="nil"/>
              <w:bottom w:val="nil"/>
              <w:right w:val="nil"/>
            </w:tcBorders>
          </w:tcPr>
          <w:p w14:paraId="12B7B1E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0.648</w:t>
            </w:r>
            <w:r>
              <w:rPr>
                <w:rFonts w:ascii="Times New Roman" w:hAnsi="Times New Roman" w:eastAsia="宋体" w:cs="Times New Roman"/>
                <w:sz w:val="20"/>
                <w:szCs w:val="20"/>
              </w:rPr>
              <w:t xml:space="preserve"> (0.623-0.672)</w:t>
            </w:r>
          </w:p>
        </w:tc>
        <w:tc>
          <w:tcPr>
            <w:tcW w:w="2721" w:type="dxa"/>
            <w:tcBorders>
              <w:top w:val="nil"/>
              <w:left w:val="nil"/>
              <w:bottom w:val="nil"/>
              <w:right w:val="nil"/>
            </w:tcBorders>
          </w:tcPr>
          <w:p w14:paraId="3350965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&lt;0.001</w:t>
            </w:r>
          </w:p>
        </w:tc>
      </w:tr>
      <w:tr w14:paraId="3E76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Borders>
              <w:top w:val="nil"/>
              <w:left w:val="nil"/>
              <w:right w:val="nil"/>
            </w:tcBorders>
          </w:tcPr>
          <w:p w14:paraId="26D78A15">
            <w:pPr>
              <w:spacing w:after="0" w:line="240" w:lineRule="auto"/>
              <w:rPr>
                <w:rFonts w:ascii="Times New Roman" w:hAnsi="Times New Roman" w:cs="Times New Roman"/>
                <w:sz w:val="20"/>
                <w:szCs w:val="20"/>
              </w:rPr>
            </w:pPr>
            <w:r>
              <w:rPr>
                <w:rFonts w:ascii="Times New Roman" w:hAnsi="Times New Roman" w:cs="Times New Roman"/>
                <w:sz w:val="20"/>
                <w:szCs w:val="20"/>
              </w:rPr>
              <w:t>LDH</w:t>
            </w:r>
          </w:p>
        </w:tc>
        <w:tc>
          <w:tcPr>
            <w:tcW w:w="2721" w:type="dxa"/>
            <w:tcBorders>
              <w:top w:val="nil"/>
              <w:left w:val="nil"/>
              <w:right w:val="nil"/>
            </w:tcBorders>
          </w:tcPr>
          <w:p w14:paraId="017B24CB">
            <w:pPr>
              <w:spacing w:after="0" w:line="240" w:lineRule="auto"/>
              <w:jc w:val="center"/>
              <w:rPr>
                <w:rFonts w:ascii="Times New Roman" w:hAnsi="Times New Roman" w:cs="Times New Roman"/>
                <w:sz w:val="20"/>
                <w:szCs w:val="20"/>
              </w:rPr>
            </w:pPr>
            <w:r>
              <w:rPr>
                <w:rFonts w:ascii="Times New Roman" w:hAnsi="Times New Roman" w:eastAsia="宋体" w:cs="Times New Roman"/>
                <w:sz w:val="20"/>
                <w:szCs w:val="20"/>
              </w:rPr>
              <w:t>0.668 (0.643-0.693)</w:t>
            </w:r>
          </w:p>
        </w:tc>
        <w:tc>
          <w:tcPr>
            <w:tcW w:w="2721" w:type="dxa"/>
            <w:tcBorders>
              <w:top w:val="nil"/>
              <w:left w:val="nil"/>
              <w:right w:val="nil"/>
            </w:tcBorders>
          </w:tcPr>
          <w:p w14:paraId="68B250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0.002</w:t>
            </w:r>
          </w:p>
        </w:tc>
      </w:tr>
    </w:tbl>
    <w:p w14:paraId="0AEEAD85">
      <w:pPr>
        <w:rPr>
          <w:rFonts w:ascii="Times New Roman" w:hAnsi="Times New Roman" w:cs="Times New Roman"/>
          <w:sz w:val="20"/>
          <w:szCs w:val="20"/>
        </w:rPr>
      </w:pPr>
      <w:r>
        <w:rPr>
          <w:rFonts w:ascii="Times New Roman" w:hAnsi="Times New Roman" w:cs="Times New Roman"/>
          <w:sz w:val="20"/>
          <w:szCs w:val="20"/>
        </w:rPr>
        <w:t xml:space="preserve">Comparisons of AUCs were performed using the DeLong test. </w:t>
      </w:r>
      <w:r>
        <w:rPr>
          <w:rFonts w:ascii="Times New Roman" w:hAnsi="Times New Roman" w:cs="Times New Roman"/>
          <w:i/>
          <w:iCs/>
          <w:sz w:val="20"/>
          <w:szCs w:val="20"/>
        </w:rPr>
        <w:t>P</w:t>
      </w:r>
      <w:r>
        <w:rPr>
          <w:rFonts w:ascii="Times New Roman" w:hAnsi="Times New Roman" w:cs="Times New Roman"/>
          <w:sz w:val="20"/>
          <w:szCs w:val="20"/>
        </w:rPr>
        <w:t xml:space="preserve"> values indicate statistical significance of the difference in AUC between the PLT/LDH ratio and each individual marker. </w:t>
      </w:r>
      <w:bookmarkStart w:id="9" w:name="OLE_LINK136"/>
      <w:r>
        <w:rPr>
          <w:rFonts w:ascii="Times New Roman" w:hAnsi="Times New Roman" w:cs="Times New Roman"/>
          <w:sz w:val="20"/>
          <w:szCs w:val="20"/>
        </w:rPr>
        <w:t>PLT: platelet count; LDH: lactate dehydrogenase.</w:t>
      </w:r>
      <w:bookmarkEnd w:id="9"/>
    </w:p>
    <w:p w14:paraId="37F23FA8">
      <w:pPr>
        <w:rPr>
          <w:rFonts w:ascii="Times New Roman" w:hAnsi="Times New Roman" w:cs="Times New Roman"/>
          <w:sz w:val="20"/>
          <w:szCs w:val="20"/>
        </w:rPr>
      </w:pPr>
      <w:bookmarkStart w:id="10" w:name="_GoBack"/>
      <w:bookmarkEnd w:id="10"/>
    </w:p>
    <w:p w14:paraId="4A3528F2">
      <w:pPr>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Pr>
          <w:rFonts w:hint="eastAsia" w:ascii="Times New Roman" w:hAnsi="Times New Roman" w:cs="Times New Roman"/>
          <w:b/>
          <w:bCs/>
          <w:sz w:val="20"/>
          <w:szCs w:val="20"/>
          <w:lang w:val="en-US" w:eastAsia="zh-CN"/>
        </w:rPr>
        <w:t>3</w:t>
      </w:r>
      <w:r>
        <w:rPr>
          <w:rFonts w:ascii="Times New Roman" w:hAnsi="Times New Roman" w:cs="Times New Roman"/>
          <w:b/>
          <w:bCs/>
          <w:sz w:val="20"/>
          <w:szCs w:val="20"/>
        </w:rPr>
        <w:t>. Model performance metrics comparing base model with and without PLT/LDH ratio</w:t>
      </w:r>
    </w:p>
    <w:tbl>
      <w:tblPr>
        <w:tblStyle w:val="16"/>
        <w:tblW w:w="0" w:type="auto"/>
        <w:tblInd w:w="0" w:type="dxa"/>
        <w:tblLayout w:type="autofit"/>
        <w:tblCellMar>
          <w:top w:w="15" w:type="dxa"/>
          <w:left w:w="15" w:type="dxa"/>
          <w:bottom w:w="15" w:type="dxa"/>
          <w:right w:w="15" w:type="dxa"/>
        </w:tblCellMar>
      </w:tblPr>
      <w:tblGrid>
        <w:gridCol w:w="2383"/>
        <w:gridCol w:w="2080"/>
        <w:gridCol w:w="1303"/>
        <w:gridCol w:w="2380"/>
        <w:gridCol w:w="1030"/>
        <w:gridCol w:w="2135"/>
        <w:gridCol w:w="1886"/>
      </w:tblGrid>
      <w:tr w14:paraId="167C87A7">
        <w:tblPrEx>
          <w:tblCellMar>
            <w:top w:w="15" w:type="dxa"/>
            <w:left w:w="15" w:type="dxa"/>
            <w:bottom w:w="15" w:type="dxa"/>
            <w:right w:w="15" w:type="dxa"/>
          </w:tblCellMar>
        </w:tblPrEx>
        <w:trPr>
          <w:trHeight w:val="312" w:hRule="exact"/>
          <w:tblHeader/>
        </w:trPr>
        <w:tc>
          <w:tcPr>
            <w:tcW w:w="0" w:type="auto"/>
            <w:tcBorders>
              <w:top w:val="single" w:color="auto" w:sz="4" w:space="0"/>
              <w:bottom w:val="single" w:color="auto" w:sz="4" w:space="0"/>
            </w:tcBorders>
            <w:shd w:val="clear" w:color="auto" w:fill="auto"/>
            <w:tcMar>
              <w:top w:w="150" w:type="dxa"/>
              <w:left w:w="0" w:type="dxa"/>
              <w:bottom w:w="150" w:type="dxa"/>
              <w:right w:w="240" w:type="dxa"/>
            </w:tcMar>
            <w:vAlign w:val="center"/>
          </w:tcPr>
          <w:p w14:paraId="102B6F2E">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Model</w:t>
            </w:r>
          </w:p>
        </w:tc>
        <w:tc>
          <w:tcPr>
            <w:tcW w:w="0" w:type="auto"/>
            <w:tcBorders>
              <w:top w:val="single" w:color="auto" w:sz="4" w:space="0"/>
              <w:bottom w:val="single" w:color="auto" w:sz="4" w:space="0"/>
            </w:tcBorders>
            <w:shd w:val="clear" w:color="auto" w:fill="auto"/>
            <w:tcMar>
              <w:top w:w="150" w:type="dxa"/>
              <w:left w:w="240" w:type="dxa"/>
              <w:bottom w:w="150" w:type="dxa"/>
              <w:right w:w="240" w:type="dxa"/>
            </w:tcMar>
            <w:vAlign w:val="center"/>
          </w:tcPr>
          <w:p w14:paraId="42E54EF5">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C-index (95% CI)</w:t>
            </w:r>
          </w:p>
        </w:tc>
        <w:tc>
          <w:tcPr>
            <w:tcW w:w="0" w:type="auto"/>
            <w:tcBorders>
              <w:top w:val="single" w:color="auto" w:sz="4" w:space="0"/>
              <w:bottom w:val="single" w:color="auto" w:sz="4" w:space="0"/>
            </w:tcBorders>
            <w:shd w:val="clear" w:color="auto" w:fill="auto"/>
            <w:tcMar>
              <w:top w:w="150" w:type="dxa"/>
              <w:left w:w="240" w:type="dxa"/>
              <w:bottom w:w="150" w:type="dxa"/>
              <w:right w:w="240" w:type="dxa"/>
            </w:tcMar>
            <w:vAlign w:val="center"/>
          </w:tcPr>
          <w:p w14:paraId="3D6D4173">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Δ C-index</w:t>
            </w:r>
          </w:p>
        </w:tc>
        <w:tc>
          <w:tcPr>
            <w:tcW w:w="0" w:type="auto"/>
            <w:tcBorders>
              <w:top w:val="single" w:color="auto" w:sz="4" w:space="0"/>
              <w:bottom w:val="single" w:color="auto" w:sz="4" w:space="0"/>
            </w:tcBorders>
            <w:shd w:val="clear" w:color="auto" w:fill="auto"/>
            <w:tcMar>
              <w:top w:w="150" w:type="dxa"/>
              <w:left w:w="240" w:type="dxa"/>
              <w:bottom w:w="150" w:type="dxa"/>
              <w:right w:w="240" w:type="dxa"/>
            </w:tcMar>
            <w:vAlign w:val="center"/>
          </w:tcPr>
          <w:p w14:paraId="33965F16">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IDI (95% CI)</w:t>
            </w:r>
          </w:p>
        </w:tc>
        <w:tc>
          <w:tcPr>
            <w:tcW w:w="0" w:type="auto"/>
            <w:tcBorders>
              <w:top w:val="single" w:color="auto" w:sz="4" w:space="0"/>
              <w:bottom w:val="single" w:color="auto" w:sz="4" w:space="0"/>
            </w:tcBorders>
            <w:shd w:val="clear" w:color="auto" w:fill="auto"/>
            <w:tcMar>
              <w:top w:w="150" w:type="dxa"/>
              <w:left w:w="240" w:type="dxa"/>
              <w:bottom w:w="150" w:type="dxa"/>
              <w:right w:w="240" w:type="dxa"/>
            </w:tcMar>
            <w:vAlign w:val="center"/>
          </w:tcPr>
          <w:p w14:paraId="6E57083D">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NRI</w:t>
            </w:r>
          </w:p>
        </w:tc>
        <w:tc>
          <w:tcPr>
            <w:tcW w:w="0" w:type="auto"/>
            <w:tcBorders>
              <w:top w:val="single" w:color="auto" w:sz="4" w:space="0"/>
              <w:bottom w:val="single" w:color="auto" w:sz="4" w:space="0"/>
            </w:tcBorders>
            <w:shd w:val="clear" w:color="auto" w:fill="auto"/>
            <w:tcMar>
              <w:top w:w="150" w:type="dxa"/>
              <w:left w:w="240" w:type="dxa"/>
              <w:bottom w:w="150" w:type="dxa"/>
              <w:right w:w="240" w:type="dxa"/>
            </w:tcMar>
            <w:vAlign w:val="center"/>
          </w:tcPr>
          <w:p w14:paraId="7EE7B2F5">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Brier Score (28-day)</w:t>
            </w:r>
          </w:p>
        </w:tc>
        <w:tc>
          <w:tcPr>
            <w:tcW w:w="0" w:type="auto"/>
            <w:tcBorders>
              <w:top w:val="single" w:color="auto" w:sz="4" w:space="0"/>
              <w:bottom w:val="single" w:color="auto" w:sz="4" w:space="0"/>
            </w:tcBorders>
            <w:shd w:val="clear" w:color="auto" w:fill="auto"/>
            <w:tcMar>
              <w:top w:w="150" w:type="dxa"/>
              <w:left w:w="240" w:type="dxa"/>
              <w:bottom w:w="150" w:type="dxa"/>
              <w:right w:w="240" w:type="dxa"/>
            </w:tcMar>
            <w:vAlign w:val="center"/>
          </w:tcPr>
          <w:p w14:paraId="7A8DFFE2">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Calibration Slope</w:t>
            </w:r>
          </w:p>
        </w:tc>
      </w:tr>
      <w:tr w14:paraId="7AF1C5CA">
        <w:tblPrEx>
          <w:tblCellMar>
            <w:top w:w="15" w:type="dxa"/>
            <w:left w:w="15" w:type="dxa"/>
            <w:bottom w:w="15" w:type="dxa"/>
            <w:right w:w="15" w:type="dxa"/>
          </w:tblCellMar>
        </w:tblPrEx>
        <w:trPr>
          <w:trHeight w:val="312" w:hRule="exact"/>
        </w:trPr>
        <w:tc>
          <w:tcPr>
            <w:tcW w:w="0" w:type="auto"/>
            <w:tcBorders>
              <w:top w:val="single" w:color="auto" w:sz="4" w:space="0"/>
            </w:tcBorders>
            <w:shd w:val="clear" w:color="auto" w:fill="auto"/>
            <w:tcMar>
              <w:top w:w="150" w:type="dxa"/>
              <w:left w:w="0" w:type="dxa"/>
              <w:bottom w:w="150" w:type="dxa"/>
              <w:right w:w="240" w:type="dxa"/>
            </w:tcMar>
            <w:vAlign w:val="center"/>
          </w:tcPr>
          <w:p w14:paraId="7DD142D7">
            <w:pPr>
              <w:widowControl/>
              <w:spacing w:after="0" w:line="240" w:lineRule="exact"/>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Base (Age + Sex + SOFA)</w:t>
            </w:r>
          </w:p>
        </w:tc>
        <w:tc>
          <w:tcPr>
            <w:tcW w:w="0" w:type="auto"/>
            <w:tcBorders>
              <w:top w:val="single" w:color="auto" w:sz="4" w:space="0"/>
            </w:tcBorders>
            <w:shd w:val="clear" w:color="auto" w:fill="auto"/>
            <w:tcMar>
              <w:top w:w="150" w:type="dxa"/>
              <w:left w:w="240" w:type="dxa"/>
              <w:bottom w:w="150" w:type="dxa"/>
              <w:right w:w="240" w:type="dxa"/>
            </w:tcMar>
            <w:vAlign w:val="center"/>
          </w:tcPr>
          <w:p w14:paraId="7551A52F">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0.726 (0.700</w:t>
            </w:r>
            <w:r>
              <w:rPr>
                <w:rFonts w:hint="eastAsia" w:ascii="Times New Roman" w:hAnsi="Times New Roman" w:eastAsia="Segoe UI" w:cs="Times New Roman"/>
                <w:iCs/>
                <w:kern w:val="0"/>
                <w:sz w:val="20"/>
                <w:szCs w:val="20"/>
                <w:lang w:bidi="ar"/>
              </w:rPr>
              <w:t>-</w:t>
            </w:r>
            <w:r>
              <w:rPr>
                <w:rFonts w:ascii="Times New Roman" w:hAnsi="Times New Roman" w:eastAsia="Segoe UI" w:cs="Times New Roman"/>
                <w:kern w:val="0"/>
                <w:sz w:val="20"/>
                <w:szCs w:val="20"/>
                <w:lang w:bidi="ar"/>
              </w:rPr>
              <w:t>0.752)</w:t>
            </w:r>
          </w:p>
        </w:tc>
        <w:tc>
          <w:tcPr>
            <w:tcW w:w="0" w:type="auto"/>
            <w:tcBorders>
              <w:top w:val="single" w:color="auto" w:sz="4" w:space="0"/>
            </w:tcBorders>
            <w:shd w:val="clear" w:color="auto" w:fill="auto"/>
            <w:tcMar>
              <w:top w:w="150" w:type="dxa"/>
              <w:left w:w="240" w:type="dxa"/>
              <w:bottom w:w="150" w:type="dxa"/>
              <w:right w:w="240" w:type="dxa"/>
            </w:tcMar>
            <w:vAlign w:val="center"/>
          </w:tcPr>
          <w:p w14:paraId="65C4395C">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0" w:type="auto"/>
            <w:tcBorders>
              <w:top w:val="single" w:color="auto" w:sz="4" w:space="0"/>
            </w:tcBorders>
            <w:shd w:val="clear" w:color="auto" w:fill="auto"/>
            <w:tcMar>
              <w:top w:w="150" w:type="dxa"/>
              <w:left w:w="240" w:type="dxa"/>
              <w:bottom w:w="150" w:type="dxa"/>
              <w:right w:w="240" w:type="dxa"/>
            </w:tcMar>
            <w:vAlign w:val="center"/>
          </w:tcPr>
          <w:p w14:paraId="60632A9D">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0" w:type="auto"/>
            <w:tcBorders>
              <w:top w:val="single" w:color="auto" w:sz="4" w:space="0"/>
            </w:tcBorders>
            <w:shd w:val="clear" w:color="auto" w:fill="auto"/>
            <w:tcMar>
              <w:top w:w="150" w:type="dxa"/>
              <w:left w:w="240" w:type="dxa"/>
              <w:bottom w:w="150" w:type="dxa"/>
              <w:right w:w="240" w:type="dxa"/>
            </w:tcMar>
            <w:vAlign w:val="center"/>
          </w:tcPr>
          <w:p w14:paraId="2D864DC0">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0" w:type="auto"/>
            <w:tcBorders>
              <w:top w:val="single" w:color="auto" w:sz="4" w:space="0"/>
            </w:tcBorders>
            <w:shd w:val="clear" w:color="auto" w:fill="auto"/>
            <w:tcMar>
              <w:top w:w="150" w:type="dxa"/>
              <w:left w:w="240" w:type="dxa"/>
              <w:bottom w:w="150" w:type="dxa"/>
              <w:right w:w="240" w:type="dxa"/>
            </w:tcMar>
            <w:vAlign w:val="center"/>
          </w:tcPr>
          <w:p w14:paraId="63030EB5">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0.1370</w:t>
            </w:r>
          </w:p>
        </w:tc>
        <w:tc>
          <w:tcPr>
            <w:tcW w:w="0" w:type="auto"/>
            <w:tcBorders>
              <w:top w:val="single" w:color="auto" w:sz="4" w:space="0"/>
            </w:tcBorders>
            <w:shd w:val="clear" w:color="auto" w:fill="auto"/>
            <w:tcMar>
              <w:top w:w="150" w:type="dxa"/>
              <w:left w:w="240" w:type="dxa"/>
              <w:bottom w:w="150" w:type="dxa"/>
              <w:right w:w="0" w:type="dxa"/>
            </w:tcMar>
            <w:vAlign w:val="center"/>
          </w:tcPr>
          <w:p w14:paraId="433630FA">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1.000</w:t>
            </w:r>
          </w:p>
        </w:tc>
      </w:tr>
      <w:tr w14:paraId="4C0A9268">
        <w:tblPrEx>
          <w:tblCellMar>
            <w:top w:w="15" w:type="dxa"/>
            <w:left w:w="15" w:type="dxa"/>
            <w:bottom w:w="15" w:type="dxa"/>
            <w:right w:w="15" w:type="dxa"/>
          </w:tblCellMar>
        </w:tblPrEx>
        <w:trPr>
          <w:trHeight w:val="312" w:hRule="exact"/>
        </w:trPr>
        <w:tc>
          <w:tcPr>
            <w:tcW w:w="0" w:type="auto"/>
            <w:shd w:val="clear" w:color="auto" w:fill="auto"/>
            <w:tcMar>
              <w:top w:w="150" w:type="dxa"/>
              <w:left w:w="0" w:type="dxa"/>
              <w:bottom w:w="150" w:type="dxa"/>
              <w:right w:w="240" w:type="dxa"/>
            </w:tcMar>
            <w:vAlign w:val="center"/>
          </w:tcPr>
          <w:p w14:paraId="43333726">
            <w:pPr>
              <w:widowControl/>
              <w:spacing w:after="0" w:line="240" w:lineRule="exact"/>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Base + PLT/LDH ratio</w:t>
            </w:r>
          </w:p>
        </w:tc>
        <w:tc>
          <w:tcPr>
            <w:tcW w:w="0" w:type="auto"/>
            <w:shd w:val="clear" w:color="auto" w:fill="auto"/>
            <w:tcMar>
              <w:top w:w="150" w:type="dxa"/>
              <w:left w:w="240" w:type="dxa"/>
              <w:bottom w:w="150" w:type="dxa"/>
              <w:right w:w="240" w:type="dxa"/>
            </w:tcMar>
            <w:vAlign w:val="center"/>
          </w:tcPr>
          <w:p w14:paraId="47BD3500">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0.744 (0.718</w:t>
            </w:r>
            <w:r>
              <w:rPr>
                <w:rFonts w:hint="eastAsia" w:ascii="Times New Roman" w:hAnsi="Times New Roman" w:eastAsia="Segoe UI" w:cs="Times New Roman"/>
                <w:iCs/>
                <w:kern w:val="0"/>
                <w:sz w:val="20"/>
                <w:szCs w:val="20"/>
                <w:lang w:bidi="ar"/>
              </w:rPr>
              <w:t>-</w:t>
            </w:r>
            <w:r>
              <w:rPr>
                <w:rFonts w:ascii="Times New Roman" w:hAnsi="Times New Roman" w:eastAsia="Segoe UI" w:cs="Times New Roman"/>
                <w:kern w:val="0"/>
                <w:sz w:val="20"/>
                <w:szCs w:val="20"/>
                <w:lang w:bidi="ar"/>
              </w:rPr>
              <w:t>0.770)</w:t>
            </w:r>
          </w:p>
        </w:tc>
        <w:tc>
          <w:tcPr>
            <w:tcW w:w="0" w:type="auto"/>
            <w:shd w:val="clear" w:color="auto" w:fill="auto"/>
            <w:tcMar>
              <w:top w:w="150" w:type="dxa"/>
              <w:left w:w="240" w:type="dxa"/>
              <w:bottom w:w="150" w:type="dxa"/>
              <w:right w:w="240" w:type="dxa"/>
            </w:tcMar>
            <w:vAlign w:val="center"/>
          </w:tcPr>
          <w:p w14:paraId="7C64EDD6">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+0.018</w:t>
            </w:r>
          </w:p>
        </w:tc>
        <w:tc>
          <w:tcPr>
            <w:tcW w:w="0" w:type="auto"/>
            <w:shd w:val="clear" w:color="auto" w:fill="auto"/>
            <w:tcMar>
              <w:top w:w="150" w:type="dxa"/>
              <w:left w:w="240" w:type="dxa"/>
              <w:bottom w:w="150" w:type="dxa"/>
              <w:right w:w="240" w:type="dxa"/>
            </w:tcMar>
            <w:vAlign w:val="center"/>
          </w:tcPr>
          <w:p w14:paraId="54C6DEB0">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0.0093 (0.0046</w:t>
            </w:r>
            <w:r>
              <w:rPr>
                <w:rFonts w:hint="eastAsia" w:ascii="Times New Roman" w:hAnsi="Times New Roman" w:eastAsia="Segoe UI" w:cs="Times New Roman"/>
                <w:iCs/>
                <w:kern w:val="0"/>
                <w:sz w:val="20"/>
                <w:szCs w:val="20"/>
                <w:lang w:bidi="ar"/>
              </w:rPr>
              <w:t>-</w:t>
            </w:r>
            <w:r>
              <w:rPr>
                <w:rFonts w:ascii="Times New Roman" w:hAnsi="Times New Roman" w:eastAsia="Segoe UI" w:cs="Times New Roman"/>
                <w:kern w:val="0"/>
                <w:sz w:val="20"/>
                <w:szCs w:val="20"/>
                <w:lang w:bidi="ar"/>
              </w:rPr>
              <w:t>0.0152)</w:t>
            </w:r>
          </w:p>
        </w:tc>
        <w:tc>
          <w:tcPr>
            <w:tcW w:w="0" w:type="auto"/>
            <w:shd w:val="clear" w:color="auto" w:fill="auto"/>
            <w:tcMar>
              <w:top w:w="150" w:type="dxa"/>
              <w:left w:w="240" w:type="dxa"/>
              <w:bottom w:w="150" w:type="dxa"/>
              <w:right w:w="240" w:type="dxa"/>
            </w:tcMar>
            <w:vAlign w:val="center"/>
          </w:tcPr>
          <w:p w14:paraId="02EB6F46">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0.0267</w:t>
            </w:r>
          </w:p>
        </w:tc>
        <w:tc>
          <w:tcPr>
            <w:tcW w:w="0" w:type="auto"/>
            <w:shd w:val="clear" w:color="auto" w:fill="auto"/>
            <w:tcMar>
              <w:top w:w="150" w:type="dxa"/>
              <w:left w:w="240" w:type="dxa"/>
              <w:bottom w:w="150" w:type="dxa"/>
              <w:right w:w="240" w:type="dxa"/>
            </w:tcMar>
            <w:vAlign w:val="center"/>
          </w:tcPr>
          <w:p w14:paraId="41E10CB7">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0.1367</w:t>
            </w:r>
          </w:p>
        </w:tc>
        <w:tc>
          <w:tcPr>
            <w:tcW w:w="0" w:type="auto"/>
            <w:shd w:val="clear" w:color="auto" w:fill="auto"/>
            <w:tcMar>
              <w:top w:w="150" w:type="dxa"/>
              <w:left w:w="240" w:type="dxa"/>
              <w:bottom w:w="150" w:type="dxa"/>
              <w:right w:w="0" w:type="dxa"/>
            </w:tcMar>
            <w:vAlign w:val="center"/>
          </w:tcPr>
          <w:p w14:paraId="273D817F">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0.996</w:t>
            </w:r>
          </w:p>
        </w:tc>
      </w:tr>
      <w:tr w14:paraId="6061BF97">
        <w:tblPrEx>
          <w:tblCellMar>
            <w:top w:w="15" w:type="dxa"/>
            <w:left w:w="15" w:type="dxa"/>
            <w:bottom w:w="15" w:type="dxa"/>
            <w:right w:w="15" w:type="dxa"/>
          </w:tblCellMar>
        </w:tblPrEx>
        <w:trPr>
          <w:trHeight w:val="312" w:hRule="exact"/>
        </w:trPr>
        <w:tc>
          <w:tcPr>
            <w:tcW w:w="0" w:type="auto"/>
            <w:tcBorders>
              <w:bottom w:val="single" w:color="auto" w:sz="4" w:space="0"/>
            </w:tcBorders>
            <w:shd w:val="clear" w:color="auto" w:fill="auto"/>
            <w:tcMar>
              <w:top w:w="150" w:type="dxa"/>
              <w:left w:w="0" w:type="dxa"/>
              <w:bottom w:w="150" w:type="dxa"/>
              <w:right w:w="240" w:type="dxa"/>
            </w:tcMar>
            <w:vAlign w:val="center"/>
          </w:tcPr>
          <w:p w14:paraId="1B563293">
            <w:pPr>
              <w:widowControl/>
              <w:spacing w:after="0" w:line="240" w:lineRule="exact"/>
              <w:rPr>
                <w:rFonts w:ascii="Times New Roman" w:hAnsi="Times New Roman" w:eastAsia="Segoe UI" w:cs="Times New Roman"/>
                <w:sz w:val="20"/>
                <w:szCs w:val="20"/>
              </w:rPr>
            </w:pPr>
            <w:r>
              <w:rPr>
                <w:rFonts w:hint="eastAsia" w:ascii="Times New Roman" w:hAnsi="Times New Roman" w:eastAsia="宋体" w:cs="Times New Roman"/>
                <w:i/>
                <w:iCs/>
                <w:kern w:val="0"/>
                <w:sz w:val="20"/>
                <w:szCs w:val="20"/>
                <w:lang w:bidi="ar"/>
              </w:rPr>
              <w:t>p</w:t>
            </w:r>
            <w:r>
              <w:rPr>
                <w:rFonts w:ascii="Times New Roman" w:hAnsi="Times New Roman" w:eastAsia="Segoe UI" w:cs="Times New Roman"/>
                <w:kern w:val="0"/>
                <w:sz w:val="20"/>
                <w:szCs w:val="20"/>
                <w:lang w:bidi="ar"/>
              </w:rPr>
              <w:t> value</w:t>
            </w:r>
          </w:p>
        </w:tc>
        <w:tc>
          <w:tcPr>
            <w:tcW w:w="0" w:type="auto"/>
            <w:tcBorders>
              <w:bottom w:val="single" w:color="auto" w:sz="4" w:space="0"/>
            </w:tcBorders>
            <w:shd w:val="clear" w:color="auto" w:fill="auto"/>
            <w:tcMar>
              <w:top w:w="150" w:type="dxa"/>
              <w:left w:w="240" w:type="dxa"/>
              <w:bottom w:w="150" w:type="dxa"/>
              <w:right w:w="240" w:type="dxa"/>
            </w:tcMar>
            <w:vAlign w:val="center"/>
          </w:tcPr>
          <w:p w14:paraId="7A32FD6C">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0" w:type="auto"/>
            <w:tcBorders>
              <w:bottom w:val="single" w:color="auto" w:sz="4" w:space="0"/>
            </w:tcBorders>
            <w:shd w:val="clear" w:color="auto" w:fill="auto"/>
            <w:tcMar>
              <w:top w:w="150" w:type="dxa"/>
              <w:left w:w="240" w:type="dxa"/>
              <w:bottom w:w="150" w:type="dxa"/>
              <w:right w:w="240" w:type="dxa"/>
            </w:tcMar>
            <w:vAlign w:val="center"/>
          </w:tcPr>
          <w:p w14:paraId="5833567A">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&lt;0.001</w:t>
            </w:r>
          </w:p>
        </w:tc>
        <w:tc>
          <w:tcPr>
            <w:tcW w:w="0" w:type="auto"/>
            <w:tcBorders>
              <w:bottom w:val="single" w:color="auto" w:sz="4" w:space="0"/>
            </w:tcBorders>
            <w:shd w:val="clear" w:color="auto" w:fill="auto"/>
            <w:tcMar>
              <w:top w:w="150" w:type="dxa"/>
              <w:left w:w="240" w:type="dxa"/>
              <w:bottom w:w="150" w:type="dxa"/>
              <w:right w:w="240" w:type="dxa"/>
            </w:tcMar>
            <w:vAlign w:val="center"/>
          </w:tcPr>
          <w:p w14:paraId="070D7398">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&lt;0.001</w:t>
            </w:r>
          </w:p>
        </w:tc>
        <w:tc>
          <w:tcPr>
            <w:tcW w:w="0" w:type="auto"/>
            <w:tcBorders>
              <w:bottom w:val="single" w:color="auto" w:sz="4" w:space="0"/>
            </w:tcBorders>
            <w:shd w:val="clear" w:color="auto" w:fill="auto"/>
            <w:tcMar>
              <w:top w:w="150" w:type="dxa"/>
              <w:left w:w="240" w:type="dxa"/>
              <w:bottom w:w="150" w:type="dxa"/>
              <w:right w:w="240" w:type="dxa"/>
            </w:tcMar>
            <w:vAlign w:val="center"/>
          </w:tcPr>
          <w:p w14:paraId="1E6B76DA">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0" w:type="auto"/>
            <w:tcBorders>
              <w:bottom w:val="single" w:color="auto" w:sz="4" w:space="0"/>
            </w:tcBorders>
            <w:shd w:val="clear" w:color="auto" w:fill="auto"/>
            <w:tcMar>
              <w:top w:w="150" w:type="dxa"/>
              <w:left w:w="240" w:type="dxa"/>
              <w:bottom w:w="150" w:type="dxa"/>
              <w:right w:w="240" w:type="dxa"/>
            </w:tcMar>
            <w:vAlign w:val="center"/>
          </w:tcPr>
          <w:p w14:paraId="24A62B6B">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0" w:type="auto"/>
            <w:tcBorders>
              <w:bottom w:val="single" w:color="auto" w:sz="4" w:space="0"/>
            </w:tcBorders>
            <w:shd w:val="clear" w:color="auto" w:fill="auto"/>
            <w:tcMar>
              <w:top w:w="150" w:type="dxa"/>
              <w:left w:w="240" w:type="dxa"/>
              <w:bottom w:w="150" w:type="dxa"/>
              <w:right w:w="0" w:type="dxa"/>
            </w:tcMar>
            <w:vAlign w:val="center"/>
          </w:tcPr>
          <w:p w14:paraId="57A29A9F">
            <w:pPr>
              <w:widowControl/>
              <w:spacing w:after="0" w:line="240" w:lineRule="exac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r>
    </w:tbl>
    <w:p w14:paraId="32702940">
      <w:pPr>
        <w:jc w:val="both"/>
        <w:rPr>
          <w:rFonts w:ascii="Times New Roman" w:hAnsi="Times New Roman" w:cs="Times New Roman"/>
          <w:sz w:val="20"/>
          <w:szCs w:val="20"/>
        </w:rPr>
      </w:pPr>
      <w:r>
        <w:rPr>
          <w:rFonts w:ascii="Times New Roman" w:hAnsi="Times New Roman" w:cs="Times New Roman"/>
          <w:sz w:val="20"/>
          <w:szCs w:val="20"/>
        </w:rPr>
        <w:t>Abbreviations: IDI, integrated discrimination improvement; NRI, net reclassification improvement; CI, confidence interval.</w:t>
      </w:r>
      <w:r>
        <w:rPr>
          <w:rFonts w:ascii="Times New Roman" w:hAnsi="Times New Roman" w:cs="Times New Roman"/>
          <w:sz w:val="20"/>
          <w:szCs w:val="20"/>
        </w:rPr>
        <w:br w:type="textWrapping"/>
      </w:r>
      <w:r>
        <w:rPr>
          <w:rFonts w:ascii="Times New Roman" w:hAnsi="Times New Roman" w:cs="Times New Roman"/>
          <w:sz w:val="20"/>
          <w:szCs w:val="20"/>
        </w:rPr>
        <w:t>Notes: C-index values were calculated using Somers' D statistic with 1,000 bootstrap resamples for optimism correction. Brier scores and calibration slopes were evaluated at 28 days. Calibration slopes close to 1.0 indicate good calibration for both models.IDI and NRI were calculated at the 28-day time point using the following risk categories: low (&lt;0.2), moderate (0.2</w:t>
      </w:r>
      <w:r>
        <w:rPr>
          <w:rFonts w:hint="eastAsia" w:ascii="Times New Roman" w:hAnsi="Times New Roman" w:cs="Times New Roman"/>
          <w:iCs/>
          <w:sz w:val="20"/>
          <w:szCs w:val="20"/>
        </w:rPr>
        <w:t>-</w:t>
      </w:r>
      <w:r>
        <w:rPr>
          <w:rFonts w:ascii="Times New Roman" w:hAnsi="Times New Roman" w:cs="Times New Roman"/>
          <w:sz w:val="20"/>
          <w:szCs w:val="20"/>
        </w:rPr>
        <w:t>0.5), and high (&gt;0.5).</w:t>
      </w:r>
    </w:p>
    <w:p w14:paraId="01EF00A9">
      <w:pPr>
        <w:jc w:val="both"/>
        <w:rPr>
          <w:rFonts w:ascii="Times New Roman" w:hAnsi="Times New Roman" w:cs="Times New Roman"/>
          <w:sz w:val="20"/>
          <w:szCs w:val="20"/>
        </w:rPr>
      </w:pPr>
    </w:p>
    <w:p w14:paraId="5D941B91">
      <w:pPr>
        <w:jc w:val="both"/>
        <w:rPr>
          <w:rFonts w:ascii="Times New Roman" w:hAnsi="Times New Roman" w:cs="Times New Roman"/>
          <w:sz w:val="20"/>
          <w:szCs w:val="20"/>
        </w:rPr>
      </w:pPr>
    </w:p>
    <w:p w14:paraId="0CFA0CFF">
      <w:pPr>
        <w:rPr>
          <w:rFonts w:hint="eastAsia" w:ascii="Times New Roman" w:hAnsi="Times New Roman" w:cs="Times New Roman" w:eastAsiaTheme="minorEastAsia"/>
          <w:b/>
          <w:bCs/>
          <w:sz w:val="20"/>
          <w:szCs w:val="20"/>
          <w:lang w:val="en-US" w:eastAsia="zh-CN"/>
        </w:rPr>
      </w:pPr>
      <w:r>
        <w:rPr>
          <w:rFonts w:ascii="Times New Roman" w:hAnsi="Times New Roman" w:cs="Times New Roman"/>
          <w:b/>
          <w:bCs/>
          <w:sz w:val="20"/>
          <w:szCs w:val="20"/>
        </w:rPr>
        <w:t xml:space="preserve">Supplementary Table </w:t>
      </w:r>
      <w:r>
        <w:rPr>
          <w:rFonts w:hint="eastAsia" w:ascii="Times New Roman" w:hAnsi="Times New Roman" w:cs="Times New Roman"/>
          <w:b/>
          <w:bCs/>
          <w:sz w:val="20"/>
          <w:szCs w:val="20"/>
          <w:lang w:val="en-US" w:eastAsia="zh-CN"/>
        </w:rPr>
        <w:t>4</w:t>
      </w:r>
      <w:r>
        <w:rPr>
          <w:rFonts w:ascii="Times New Roman" w:hAnsi="Times New Roman" w:cs="Times New Roman"/>
          <w:b/>
          <w:bCs/>
          <w:sz w:val="20"/>
          <w:szCs w:val="20"/>
        </w:rPr>
        <w:t>. Comparison of the PLT/LDH ratio with PLT and LDH as separate nonlinear terms</w:t>
      </w:r>
    </w:p>
    <w:tbl>
      <w:tblPr>
        <w:tblStyle w:val="16"/>
        <w:tblW w:w="13414" w:type="dxa"/>
        <w:tblInd w:w="0" w:type="dxa"/>
        <w:tblLayout w:type="fixed"/>
        <w:tblCellMar>
          <w:top w:w="15" w:type="dxa"/>
          <w:left w:w="15" w:type="dxa"/>
          <w:bottom w:w="15" w:type="dxa"/>
          <w:right w:w="15" w:type="dxa"/>
        </w:tblCellMar>
      </w:tblPr>
      <w:tblGrid>
        <w:gridCol w:w="4344"/>
        <w:gridCol w:w="1814"/>
        <w:gridCol w:w="1814"/>
        <w:gridCol w:w="1814"/>
        <w:gridCol w:w="1814"/>
        <w:gridCol w:w="1814"/>
      </w:tblGrid>
      <w:tr w14:paraId="78CAEB1C">
        <w:tblPrEx>
          <w:tblCellMar>
            <w:top w:w="15" w:type="dxa"/>
            <w:left w:w="15" w:type="dxa"/>
            <w:bottom w:w="15" w:type="dxa"/>
            <w:right w:w="15" w:type="dxa"/>
          </w:tblCellMar>
        </w:tblPrEx>
        <w:trPr>
          <w:trHeight w:val="312" w:hRule="exact"/>
          <w:tblHeader/>
        </w:trPr>
        <w:tc>
          <w:tcPr>
            <w:tcW w:w="4344" w:type="dxa"/>
            <w:tcBorders>
              <w:top w:val="single" w:color="auto" w:sz="4" w:space="0"/>
              <w:bottom w:val="single" w:color="auto" w:sz="4" w:space="0"/>
            </w:tcBorders>
            <w:shd w:val="clear" w:color="auto" w:fill="auto"/>
            <w:tcMar>
              <w:top w:w="150" w:type="dxa"/>
              <w:left w:w="0" w:type="dxa"/>
              <w:bottom w:w="150" w:type="dxa"/>
              <w:right w:w="240" w:type="dxa"/>
            </w:tcMar>
            <w:vAlign w:val="center"/>
          </w:tcPr>
          <w:p w14:paraId="2D696EFA">
            <w:pPr>
              <w:widowControl/>
              <w:spacing w:line="300" w:lineRule="atLeast"/>
              <w:jc w:val="center"/>
              <w:rPr>
                <w:rFonts w:ascii="Times New Roman" w:hAnsi="Times New Roman" w:eastAsia="Segoe UI" w:cs="Times New Roman"/>
                <w:b/>
                <w:bCs/>
                <w:sz w:val="20"/>
                <w:szCs w:val="20"/>
              </w:rPr>
            </w:pPr>
            <w:r>
              <w:rPr>
                <w:rFonts w:ascii="Times New Roman" w:hAnsi="Times New Roman" w:eastAsia="Segoe UI" w:cs="Times New Roman"/>
                <w:b/>
                <w:bCs/>
                <w:kern w:val="0"/>
                <w:sz w:val="20"/>
                <w:szCs w:val="20"/>
                <w:lang w:bidi="ar"/>
              </w:rPr>
              <w:t>Model</w:t>
            </w:r>
          </w:p>
        </w:tc>
        <w:tc>
          <w:tcPr>
            <w:tcW w:w="1814"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0236CD2E">
            <w:pPr>
              <w:widowControl/>
              <w:spacing w:line="300" w:lineRule="atLeast"/>
              <w:jc w:val="center"/>
              <w:rPr>
                <w:rFonts w:ascii="Times New Roman" w:hAnsi="Times New Roman" w:eastAsia="Segoe UI" w:cs="Times New Roman"/>
                <w:b/>
                <w:bCs/>
                <w:sz w:val="20"/>
                <w:szCs w:val="20"/>
              </w:rPr>
            </w:pPr>
            <w:r>
              <w:rPr>
                <w:rFonts w:ascii="Times New Roman" w:hAnsi="Times New Roman" w:eastAsia="Segoe UI" w:cs="Times New Roman"/>
                <w:b/>
                <w:bCs/>
                <w:kern w:val="0"/>
                <w:sz w:val="20"/>
                <w:szCs w:val="20"/>
                <w:lang w:bidi="ar"/>
              </w:rPr>
              <w:t>Log-likelihood</w:t>
            </w:r>
          </w:p>
        </w:tc>
        <w:tc>
          <w:tcPr>
            <w:tcW w:w="1814"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57A61C22">
            <w:pPr>
              <w:widowControl/>
              <w:spacing w:line="300" w:lineRule="atLeast"/>
              <w:jc w:val="center"/>
              <w:rPr>
                <w:rFonts w:ascii="Times New Roman" w:hAnsi="Times New Roman" w:eastAsia="Segoe UI" w:cs="Times New Roman"/>
                <w:b/>
                <w:bCs/>
                <w:sz w:val="20"/>
                <w:szCs w:val="20"/>
              </w:rPr>
            </w:pPr>
            <w:r>
              <w:rPr>
                <w:rFonts w:ascii="Times New Roman" w:hAnsi="Times New Roman" w:eastAsia="Segoe UI" w:cs="Times New Roman"/>
                <w:b/>
                <w:bCs/>
                <w:kern w:val="0"/>
                <w:sz w:val="20"/>
                <w:szCs w:val="20"/>
                <w:lang w:bidi="ar"/>
              </w:rPr>
              <w:t>C-index</w:t>
            </w:r>
          </w:p>
        </w:tc>
        <w:tc>
          <w:tcPr>
            <w:tcW w:w="1814"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567FE750">
            <w:pPr>
              <w:widowControl/>
              <w:spacing w:line="300" w:lineRule="atLeast"/>
              <w:jc w:val="center"/>
              <w:rPr>
                <w:rFonts w:ascii="Times New Roman" w:hAnsi="Times New Roman" w:eastAsia="Segoe UI" w:cs="Times New Roman"/>
                <w:b/>
                <w:bCs/>
                <w:sz w:val="20"/>
                <w:szCs w:val="20"/>
              </w:rPr>
            </w:pPr>
            <w:r>
              <w:rPr>
                <w:rFonts w:ascii="Times New Roman" w:hAnsi="Times New Roman" w:eastAsia="Segoe UI" w:cs="Times New Roman"/>
                <w:b/>
                <w:bCs/>
                <w:kern w:val="0"/>
                <w:sz w:val="20"/>
                <w:szCs w:val="20"/>
                <w:lang w:bidi="ar"/>
              </w:rPr>
              <w:t>LRT χ²</w:t>
            </w:r>
          </w:p>
        </w:tc>
        <w:tc>
          <w:tcPr>
            <w:tcW w:w="1814"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2C548834">
            <w:pPr>
              <w:widowControl/>
              <w:spacing w:line="300" w:lineRule="atLeast"/>
              <w:jc w:val="center"/>
              <w:rPr>
                <w:rFonts w:ascii="Times New Roman" w:hAnsi="Times New Roman" w:eastAsia="Segoe UI" w:cs="Times New Roman"/>
                <w:b/>
                <w:bCs/>
                <w:sz w:val="20"/>
                <w:szCs w:val="20"/>
              </w:rPr>
            </w:pPr>
            <w:r>
              <w:rPr>
                <w:rFonts w:ascii="Times New Roman" w:hAnsi="Times New Roman" w:eastAsia="Segoe UI" w:cs="Times New Roman"/>
                <w:b/>
                <w:bCs/>
                <w:kern w:val="0"/>
                <w:sz w:val="20"/>
                <w:szCs w:val="20"/>
                <w:lang w:bidi="ar"/>
              </w:rPr>
              <w:t>df</w:t>
            </w:r>
          </w:p>
        </w:tc>
        <w:tc>
          <w:tcPr>
            <w:tcW w:w="1814"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3C1118AE">
            <w:pPr>
              <w:widowControl/>
              <w:spacing w:line="300" w:lineRule="atLeast"/>
              <w:jc w:val="center"/>
              <w:rPr>
                <w:rFonts w:ascii="Times New Roman" w:hAnsi="Times New Roman" w:eastAsia="Segoe UI" w:cs="Times New Roman"/>
                <w:b/>
                <w:bCs/>
                <w:sz w:val="20"/>
                <w:szCs w:val="20"/>
              </w:rPr>
            </w:pPr>
            <w:r>
              <w:rPr>
                <w:rFonts w:hint="eastAsia" w:ascii="Times New Roman" w:hAnsi="Times New Roman" w:eastAsia="宋体" w:cs="Times New Roman"/>
                <w:b/>
                <w:bCs/>
                <w:i/>
                <w:iCs/>
                <w:kern w:val="0"/>
                <w:sz w:val="20"/>
                <w:szCs w:val="20"/>
                <w:lang w:bidi="ar"/>
              </w:rPr>
              <w:t>p</w:t>
            </w:r>
            <w:r>
              <w:rPr>
                <w:rFonts w:ascii="Times New Roman" w:hAnsi="Times New Roman" w:eastAsia="Segoe UI" w:cs="Times New Roman"/>
                <w:b/>
                <w:bCs/>
                <w:kern w:val="0"/>
                <w:sz w:val="20"/>
                <w:szCs w:val="20"/>
                <w:lang w:bidi="ar"/>
              </w:rPr>
              <w:t> value</w:t>
            </w:r>
          </w:p>
        </w:tc>
      </w:tr>
      <w:tr w14:paraId="113CD74D">
        <w:tblPrEx>
          <w:tblCellMar>
            <w:top w:w="15" w:type="dxa"/>
            <w:left w:w="15" w:type="dxa"/>
            <w:bottom w:w="15" w:type="dxa"/>
            <w:right w:w="15" w:type="dxa"/>
          </w:tblCellMar>
        </w:tblPrEx>
        <w:trPr>
          <w:trHeight w:val="312" w:hRule="exact"/>
        </w:trPr>
        <w:tc>
          <w:tcPr>
            <w:tcW w:w="4344" w:type="dxa"/>
            <w:tcBorders>
              <w:top w:val="single" w:color="auto" w:sz="4" w:space="0"/>
            </w:tcBorders>
            <w:shd w:val="clear" w:color="auto" w:fill="auto"/>
            <w:tcMar>
              <w:top w:w="150" w:type="dxa"/>
              <w:left w:w="0" w:type="dxa"/>
              <w:bottom w:w="150" w:type="dxa"/>
              <w:right w:w="240" w:type="dxa"/>
            </w:tcMar>
            <w:vAlign w:val="center"/>
          </w:tcPr>
          <w:p w14:paraId="5E882329">
            <w:pPr>
              <w:widowControl/>
              <w:spacing w:line="300" w:lineRule="atLeast"/>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PLT + LDH (RCS, 3 knots each) + covariates</w:t>
            </w:r>
          </w:p>
        </w:tc>
        <w:tc>
          <w:tcPr>
            <w:tcW w:w="1814" w:type="dxa"/>
            <w:tcBorders>
              <w:top w:val="single" w:color="auto" w:sz="4" w:space="0"/>
            </w:tcBorders>
            <w:shd w:val="clear" w:color="auto" w:fill="auto"/>
            <w:tcMar>
              <w:top w:w="150" w:type="dxa"/>
              <w:left w:w="240" w:type="dxa"/>
              <w:bottom w:w="150" w:type="dxa"/>
              <w:right w:w="240" w:type="dxa"/>
            </w:tcMar>
            <w:vAlign w:val="center"/>
          </w:tcPr>
          <w:p w14:paraId="3F2CD95E">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−4,221.8</w:t>
            </w:r>
          </w:p>
        </w:tc>
        <w:tc>
          <w:tcPr>
            <w:tcW w:w="1814" w:type="dxa"/>
            <w:tcBorders>
              <w:top w:val="single" w:color="auto" w:sz="4" w:space="0"/>
            </w:tcBorders>
            <w:shd w:val="clear" w:color="auto" w:fill="auto"/>
            <w:tcMar>
              <w:top w:w="150" w:type="dxa"/>
              <w:left w:w="240" w:type="dxa"/>
              <w:bottom w:w="150" w:type="dxa"/>
              <w:right w:w="240" w:type="dxa"/>
            </w:tcMar>
            <w:vAlign w:val="center"/>
          </w:tcPr>
          <w:p w14:paraId="580F68CF">
            <w:pPr>
              <w:widowControl/>
              <w:spacing w:line="300" w:lineRule="atLeas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0.621</w:t>
            </w:r>
          </w:p>
        </w:tc>
        <w:tc>
          <w:tcPr>
            <w:tcW w:w="1814" w:type="dxa"/>
            <w:tcBorders>
              <w:top w:val="single" w:color="auto" w:sz="4" w:space="0"/>
            </w:tcBorders>
            <w:shd w:val="clear" w:color="auto" w:fill="auto"/>
            <w:tcMar>
              <w:top w:w="150" w:type="dxa"/>
              <w:left w:w="240" w:type="dxa"/>
              <w:bottom w:w="150" w:type="dxa"/>
              <w:right w:w="240" w:type="dxa"/>
            </w:tcMar>
            <w:vAlign w:val="center"/>
          </w:tcPr>
          <w:p w14:paraId="3A393288">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1814" w:type="dxa"/>
            <w:tcBorders>
              <w:top w:val="single" w:color="auto" w:sz="4" w:space="0"/>
            </w:tcBorders>
            <w:shd w:val="clear" w:color="auto" w:fill="auto"/>
            <w:tcMar>
              <w:top w:w="150" w:type="dxa"/>
              <w:left w:w="240" w:type="dxa"/>
              <w:bottom w:w="150" w:type="dxa"/>
              <w:right w:w="240" w:type="dxa"/>
            </w:tcMar>
            <w:vAlign w:val="center"/>
          </w:tcPr>
          <w:p w14:paraId="69B4074A">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c>
          <w:tcPr>
            <w:tcW w:w="1814" w:type="dxa"/>
            <w:tcBorders>
              <w:top w:val="single" w:color="auto" w:sz="4" w:space="0"/>
            </w:tcBorders>
            <w:shd w:val="clear" w:color="auto" w:fill="auto"/>
            <w:tcMar>
              <w:top w:w="150" w:type="dxa"/>
              <w:left w:w="240" w:type="dxa"/>
              <w:bottom w:w="150" w:type="dxa"/>
              <w:right w:w="0" w:type="dxa"/>
            </w:tcMar>
            <w:vAlign w:val="center"/>
          </w:tcPr>
          <w:p w14:paraId="2A9899CD">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w:t>
            </w:r>
          </w:p>
        </w:tc>
      </w:tr>
      <w:tr w14:paraId="75E893CD">
        <w:tblPrEx>
          <w:tblCellMar>
            <w:top w:w="15" w:type="dxa"/>
            <w:left w:w="15" w:type="dxa"/>
            <w:bottom w:w="15" w:type="dxa"/>
            <w:right w:w="15" w:type="dxa"/>
          </w:tblCellMar>
        </w:tblPrEx>
        <w:trPr>
          <w:trHeight w:val="312" w:hRule="exact"/>
        </w:trPr>
        <w:tc>
          <w:tcPr>
            <w:tcW w:w="4344" w:type="dxa"/>
            <w:tcBorders>
              <w:bottom w:val="single" w:color="auto" w:sz="4" w:space="0"/>
            </w:tcBorders>
            <w:shd w:val="clear" w:color="auto" w:fill="auto"/>
            <w:tcMar>
              <w:top w:w="150" w:type="dxa"/>
              <w:left w:w="0" w:type="dxa"/>
              <w:bottom w:w="150" w:type="dxa"/>
              <w:right w:w="240" w:type="dxa"/>
            </w:tcMar>
            <w:vAlign w:val="center"/>
          </w:tcPr>
          <w:p w14:paraId="761CC181">
            <w:pPr>
              <w:widowControl/>
              <w:spacing w:line="300" w:lineRule="atLeast"/>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PLT + LDH (RCS) + PLT/LDH ratio + covariates</w:t>
            </w:r>
          </w:p>
        </w:tc>
        <w:tc>
          <w:tcPr>
            <w:tcW w:w="1814" w:type="dxa"/>
            <w:tcBorders>
              <w:bottom w:val="single" w:color="auto" w:sz="4" w:space="0"/>
            </w:tcBorders>
            <w:shd w:val="clear" w:color="auto" w:fill="auto"/>
            <w:tcMar>
              <w:top w:w="150" w:type="dxa"/>
              <w:left w:w="240" w:type="dxa"/>
              <w:bottom w:w="150" w:type="dxa"/>
              <w:right w:w="240" w:type="dxa"/>
            </w:tcMar>
            <w:vAlign w:val="center"/>
          </w:tcPr>
          <w:p w14:paraId="78FD3D89">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−4,221.6</w:t>
            </w:r>
          </w:p>
        </w:tc>
        <w:tc>
          <w:tcPr>
            <w:tcW w:w="1814" w:type="dxa"/>
            <w:tcBorders>
              <w:bottom w:val="single" w:color="auto" w:sz="4" w:space="0"/>
            </w:tcBorders>
            <w:shd w:val="clear" w:color="auto" w:fill="auto"/>
            <w:tcMar>
              <w:top w:w="150" w:type="dxa"/>
              <w:left w:w="240" w:type="dxa"/>
              <w:bottom w:w="150" w:type="dxa"/>
              <w:right w:w="240" w:type="dxa"/>
            </w:tcMar>
            <w:vAlign w:val="center"/>
          </w:tcPr>
          <w:p w14:paraId="6C691D81">
            <w:pPr>
              <w:widowControl/>
              <w:spacing w:line="300" w:lineRule="atLeast"/>
              <w:jc w:val="center"/>
              <w:rPr>
                <w:rFonts w:ascii="Times New Roman" w:hAnsi="Times New Roman" w:eastAsia="Segoe UI" w:cs="Times New Roman"/>
                <w:sz w:val="20"/>
                <w:szCs w:val="20"/>
              </w:rPr>
            </w:pPr>
            <w:r>
              <w:rPr>
                <w:rFonts w:hint="eastAsia" w:ascii="Times New Roman" w:hAnsi="Times New Roman" w:eastAsia="宋体" w:cs="Times New Roman"/>
                <w:sz w:val="20"/>
                <w:szCs w:val="20"/>
              </w:rPr>
              <w:t>0.621</w:t>
            </w:r>
          </w:p>
        </w:tc>
        <w:tc>
          <w:tcPr>
            <w:tcW w:w="1814" w:type="dxa"/>
            <w:tcBorders>
              <w:bottom w:val="single" w:color="auto" w:sz="4" w:space="0"/>
            </w:tcBorders>
            <w:shd w:val="clear" w:color="auto" w:fill="auto"/>
            <w:tcMar>
              <w:top w:w="150" w:type="dxa"/>
              <w:left w:w="240" w:type="dxa"/>
              <w:bottom w:w="150" w:type="dxa"/>
              <w:right w:w="240" w:type="dxa"/>
            </w:tcMar>
            <w:vAlign w:val="center"/>
          </w:tcPr>
          <w:p w14:paraId="2DEB8B39">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0.31</w:t>
            </w:r>
          </w:p>
        </w:tc>
        <w:tc>
          <w:tcPr>
            <w:tcW w:w="1814" w:type="dxa"/>
            <w:tcBorders>
              <w:bottom w:val="single" w:color="auto" w:sz="4" w:space="0"/>
            </w:tcBorders>
            <w:shd w:val="clear" w:color="auto" w:fill="auto"/>
            <w:tcMar>
              <w:top w:w="150" w:type="dxa"/>
              <w:left w:w="240" w:type="dxa"/>
              <w:bottom w:w="150" w:type="dxa"/>
              <w:right w:w="240" w:type="dxa"/>
            </w:tcMar>
            <w:vAlign w:val="center"/>
          </w:tcPr>
          <w:p w14:paraId="030D2128">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1</w:t>
            </w:r>
          </w:p>
        </w:tc>
        <w:tc>
          <w:tcPr>
            <w:tcW w:w="1814" w:type="dxa"/>
            <w:tcBorders>
              <w:bottom w:val="single" w:color="auto" w:sz="4" w:space="0"/>
            </w:tcBorders>
            <w:shd w:val="clear" w:color="auto" w:fill="auto"/>
            <w:tcMar>
              <w:top w:w="150" w:type="dxa"/>
              <w:left w:w="240" w:type="dxa"/>
              <w:bottom w:w="150" w:type="dxa"/>
              <w:right w:w="0" w:type="dxa"/>
            </w:tcMar>
            <w:vAlign w:val="center"/>
          </w:tcPr>
          <w:p w14:paraId="070FF1B4">
            <w:pPr>
              <w:widowControl/>
              <w:spacing w:line="300" w:lineRule="atLeast"/>
              <w:jc w:val="center"/>
              <w:rPr>
                <w:rFonts w:ascii="Times New Roman" w:hAnsi="Times New Roman" w:eastAsia="Segoe UI" w:cs="Times New Roman"/>
                <w:sz w:val="20"/>
                <w:szCs w:val="20"/>
              </w:rPr>
            </w:pPr>
            <w:r>
              <w:rPr>
                <w:rFonts w:ascii="Times New Roman" w:hAnsi="Times New Roman" w:eastAsia="Segoe UI" w:cs="Times New Roman"/>
                <w:kern w:val="0"/>
                <w:sz w:val="20"/>
                <w:szCs w:val="20"/>
                <w:lang w:bidi="ar"/>
              </w:rPr>
              <w:t>0.578</w:t>
            </w:r>
          </w:p>
        </w:tc>
      </w:tr>
    </w:tbl>
    <w:p w14:paraId="28349EE9">
      <w:pPr>
        <w:spacing w:after="0" w:line="279" w:lineRule="auto"/>
        <w:rPr>
          <w:rFonts w:ascii="Times New Roman" w:hAnsi="Times New Roman" w:cs="Times New Roman"/>
          <w:sz w:val="20"/>
          <w:szCs w:val="20"/>
        </w:rPr>
      </w:pPr>
      <w:r>
        <w:rPr>
          <w:rFonts w:ascii="Times New Roman" w:hAnsi="Times New Roman" w:cs="Times New Roman"/>
          <w:sz w:val="20"/>
          <w:szCs w:val="20"/>
        </w:rPr>
        <w:t>Abbreviations: RCS, restricted cubic splines; LRT, likelihood ratio test; df, degrees of freedom.</w:t>
      </w:r>
      <w:r>
        <w:rPr>
          <w:rFonts w:ascii="Times New Roman" w:hAnsi="Times New Roman" w:cs="Times New Roman"/>
          <w:sz w:val="20"/>
          <w:szCs w:val="20"/>
        </w:rPr>
        <w:br w:type="textWrapping"/>
      </w:r>
      <w:r>
        <w:rPr>
          <w:rFonts w:ascii="Times New Roman" w:hAnsi="Times New Roman" w:cs="Times New Roman"/>
          <w:sz w:val="20"/>
          <w:szCs w:val="20"/>
        </w:rPr>
        <w:t>Covariates: age, sex, SOFA score, Charlson comorbidity index.</w:t>
      </w:r>
      <w:r>
        <w:rPr>
          <w:rFonts w:ascii="Times New Roman" w:hAnsi="Times New Roman" w:cs="Times New Roman"/>
          <w:sz w:val="20"/>
          <w:szCs w:val="20"/>
        </w:rPr>
        <w:br w:type="textWrapping"/>
      </w:r>
      <w:r>
        <w:rPr>
          <w:rFonts w:ascii="Times New Roman" w:hAnsi="Times New Roman" w:cs="Times New Roman"/>
          <w:sz w:val="20"/>
          <w:szCs w:val="20"/>
        </w:rPr>
        <w:t>Note: C-index values reflect the discriminative performance of the linear predictor from each model. The LRT compares the model with PLT/LDH ratio against the model without it.</w:t>
      </w:r>
    </w:p>
    <w:p w14:paraId="13D31E63">
      <w:pPr>
        <w:rPr>
          <w:rFonts w:ascii="Times New Roman" w:hAnsi="Times New Roman" w:cs="Times New Roman"/>
          <w:b/>
          <w:bCs/>
          <w:sz w:val="20"/>
          <w:szCs w:val="20"/>
        </w:rPr>
      </w:pPr>
    </w:p>
    <w:p w14:paraId="5777610E">
      <w:pPr>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Pr>
          <w:rFonts w:hint="eastAsia" w:ascii="Times New Roman" w:hAnsi="Times New Roman" w:cs="Times New Roman"/>
          <w:b/>
          <w:bCs/>
          <w:sz w:val="20"/>
          <w:szCs w:val="20"/>
          <w:lang w:val="en-US" w:eastAsia="zh-CN"/>
        </w:rPr>
        <w:t>5</w:t>
      </w:r>
      <w:r>
        <w:rPr>
          <w:rFonts w:ascii="Times New Roman" w:hAnsi="Times New Roman" w:cs="Times New Roman"/>
          <w:b/>
          <w:bCs/>
          <w:sz w:val="20"/>
          <w:szCs w:val="20"/>
        </w:rPr>
        <w:t>. cTnT-stratified analysis of the association between PLT/LDH ratio and in-hospital mortality</w:t>
      </w:r>
    </w:p>
    <w:tbl>
      <w:tblPr>
        <w:tblStyle w:val="16"/>
        <w:tblW w:w="8279" w:type="dxa"/>
        <w:tblInd w:w="-22"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0"/>
        <w:gridCol w:w="1450"/>
        <w:gridCol w:w="2288"/>
        <w:gridCol w:w="2041"/>
      </w:tblGrid>
      <w:tr w14:paraId="56B94B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00" w:type="dxa"/>
            <w:tcBorders>
              <w:top w:val="single" w:color="auto" w:sz="4" w:space="0"/>
              <w:bottom w:val="single" w:color="auto" w:sz="4" w:space="0"/>
            </w:tcBorders>
            <w:shd w:val="clear" w:color="auto" w:fill="auto"/>
          </w:tcPr>
          <w:p w14:paraId="6335819C">
            <w:pPr>
              <w:widowControl/>
              <w:spacing w:after="0" w:line="240" w:lineRule="auto"/>
              <w:jc w:val="center"/>
              <w:textAlignment w:val="top"/>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Stratum</w:t>
            </w:r>
          </w:p>
        </w:tc>
        <w:tc>
          <w:tcPr>
            <w:tcW w:w="1450" w:type="dxa"/>
            <w:tcBorders>
              <w:top w:val="single" w:color="auto" w:sz="4" w:space="0"/>
              <w:bottom w:val="single" w:color="auto" w:sz="4" w:space="0"/>
            </w:tcBorders>
            <w:shd w:val="clear" w:color="auto" w:fill="auto"/>
          </w:tcPr>
          <w:p w14:paraId="436C215B">
            <w:pPr>
              <w:widowControl/>
              <w:spacing w:after="0" w:line="240" w:lineRule="auto"/>
              <w:jc w:val="center"/>
              <w:textAlignment w:val="top"/>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n</w:t>
            </w:r>
          </w:p>
        </w:tc>
        <w:tc>
          <w:tcPr>
            <w:tcW w:w="2288" w:type="dxa"/>
            <w:tcBorders>
              <w:top w:val="single" w:color="auto" w:sz="4" w:space="0"/>
              <w:bottom w:val="single" w:color="auto" w:sz="4" w:space="0"/>
            </w:tcBorders>
            <w:shd w:val="clear" w:color="auto" w:fill="auto"/>
          </w:tcPr>
          <w:p w14:paraId="3DE49DAF">
            <w:pPr>
              <w:widowControl/>
              <w:spacing w:after="0" w:line="240" w:lineRule="auto"/>
              <w:jc w:val="center"/>
              <w:textAlignment w:val="top"/>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HR (95% CI)</w:t>
            </w:r>
          </w:p>
        </w:tc>
        <w:tc>
          <w:tcPr>
            <w:tcW w:w="2041" w:type="dxa"/>
            <w:tcBorders>
              <w:top w:val="single" w:color="auto" w:sz="4" w:space="0"/>
              <w:bottom w:val="single" w:color="auto" w:sz="4" w:space="0"/>
            </w:tcBorders>
            <w:shd w:val="clear" w:color="auto" w:fill="auto"/>
          </w:tcPr>
          <w:p w14:paraId="59F2F0A5">
            <w:pPr>
              <w:widowControl/>
              <w:spacing w:after="0" w:line="240" w:lineRule="auto"/>
              <w:jc w:val="center"/>
              <w:textAlignment w:val="top"/>
              <w:rPr>
                <w:rFonts w:ascii="Times New Roman" w:hAnsi="Times New Roman" w:eastAsia="宋体" w:cs="Times New Roman"/>
                <w:b/>
                <w:bCs/>
                <w:color w:val="000000"/>
                <w:sz w:val="20"/>
                <w:szCs w:val="20"/>
              </w:rPr>
            </w:pPr>
            <w:r>
              <w:rPr>
                <w:rFonts w:hint="eastAsia" w:ascii="Times New Roman" w:hAnsi="Times New Roman" w:eastAsia="宋体" w:cs="Times New Roman"/>
                <w:b/>
                <w:bCs/>
                <w:i/>
                <w:iCs/>
                <w:color w:val="000000"/>
                <w:kern w:val="0"/>
                <w:sz w:val="20"/>
                <w:szCs w:val="20"/>
                <w:lang w:bidi="ar"/>
              </w:rPr>
              <w:t>p</w:t>
            </w:r>
            <w:r>
              <w:rPr>
                <w:rFonts w:ascii="Times New Roman" w:hAnsi="Times New Roman" w:eastAsia="宋体" w:cs="Times New Roman"/>
                <w:b/>
                <w:bCs/>
                <w:color w:val="000000"/>
                <w:kern w:val="0"/>
                <w:sz w:val="20"/>
                <w:szCs w:val="20"/>
                <w:lang w:bidi="ar"/>
              </w:rPr>
              <w:t xml:space="preserve"> value</w:t>
            </w:r>
          </w:p>
        </w:tc>
      </w:tr>
      <w:tr w14:paraId="499CD1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00" w:type="dxa"/>
            <w:tcBorders>
              <w:top w:val="single" w:color="auto" w:sz="4" w:space="0"/>
            </w:tcBorders>
            <w:shd w:val="clear" w:color="auto" w:fill="auto"/>
          </w:tcPr>
          <w:p w14:paraId="4512F5C1">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Low (≤5× URL)</w:t>
            </w:r>
          </w:p>
        </w:tc>
        <w:tc>
          <w:tcPr>
            <w:tcW w:w="1450" w:type="dxa"/>
            <w:tcBorders>
              <w:top w:val="single" w:color="auto" w:sz="4" w:space="0"/>
            </w:tcBorders>
            <w:shd w:val="clear" w:color="auto" w:fill="auto"/>
          </w:tcPr>
          <w:p w14:paraId="6613BF81">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1,018</w:t>
            </w:r>
          </w:p>
        </w:tc>
        <w:tc>
          <w:tcPr>
            <w:tcW w:w="2288" w:type="dxa"/>
            <w:tcBorders>
              <w:top w:val="single" w:color="auto" w:sz="4" w:space="0"/>
            </w:tcBorders>
            <w:shd w:val="clear" w:color="auto" w:fill="auto"/>
          </w:tcPr>
          <w:p w14:paraId="570D42FC">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0.923 (0.668</w:t>
            </w:r>
            <w:r>
              <w:rPr>
                <w:rFonts w:hint="eastAsia" w:ascii="Times New Roman" w:hAnsi="Times New Roman" w:eastAsia="宋体" w:cs="Times New Roman"/>
                <w:iCs/>
                <w:color w:val="000000"/>
                <w:kern w:val="0"/>
                <w:sz w:val="20"/>
                <w:szCs w:val="20"/>
                <w:lang w:bidi="ar"/>
              </w:rPr>
              <w:t>-</w:t>
            </w:r>
            <w:r>
              <w:rPr>
                <w:rFonts w:ascii="Times New Roman" w:hAnsi="Times New Roman" w:eastAsia="宋体" w:cs="Times New Roman"/>
                <w:color w:val="000000"/>
                <w:kern w:val="0"/>
                <w:sz w:val="20"/>
                <w:szCs w:val="20"/>
                <w:lang w:bidi="ar"/>
              </w:rPr>
              <w:t>1.277)</w:t>
            </w:r>
          </w:p>
        </w:tc>
        <w:tc>
          <w:tcPr>
            <w:tcW w:w="2041" w:type="dxa"/>
            <w:tcBorders>
              <w:top w:val="single" w:color="auto" w:sz="4" w:space="0"/>
            </w:tcBorders>
            <w:shd w:val="clear" w:color="auto" w:fill="auto"/>
          </w:tcPr>
          <w:p w14:paraId="30144B8C">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0.629</w:t>
            </w:r>
          </w:p>
        </w:tc>
      </w:tr>
      <w:tr w14:paraId="647155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00" w:type="dxa"/>
            <w:shd w:val="clear" w:color="auto" w:fill="auto"/>
          </w:tcPr>
          <w:p w14:paraId="0C744A43">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 (5-20× URL)</w:t>
            </w:r>
          </w:p>
        </w:tc>
        <w:tc>
          <w:tcPr>
            <w:tcW w:w="1450" w:type="dxa"/>
            <w:shd w:val="clear" w:color="auto" w:fill="auto"/>
          </w:tcPr>
          <w:p w14:paraId="0C67F0B6">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1,238</w:t>
            </w:r>
          </w:p>
        </w:tc>
        <w:tc>
          <w:tcPr>
            <w:tcW w:w="2288" w:type="dxa"/>
            <w:shd w:val="clear" w:color="auto" w:fill="auto"/>
          </w:tcPr>
          <w:p w14:paraId="52F15B49">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0.343 (0.223</w:t>
            </w:r>
            <w:r>
              <w:rPr>
                <w:rFonts w:hint="eastAsia" w:ascii="Times New Roman" w:hAnsi="Times New Roman" w:eastAsia="宋体" w:cs="Times New Roman"/>
                <w:iCs/>
                <w:color w:val="000000"/>
                <w:kern w:val="0"/>
                <w:sz w:val="20"/>
                <w:szCs w:val="20"/>
                <w:lang w:bidi="ar"/>
              </w:rPr>
              <w:t>-</w:t>
            </w:r>
            <w:r>
              <w:rPr>
                <w:rFonts w:ascii="Times New Roman" w:hAnsi="Times New Roman" w:eastAsia="宋体" w:cs="Times New Roman"/>
                <w:color w:val="000000"/>
                <w:kern w:val="0"/>
                <w:sz w:val="20"/>
                <w:szCs w:val="20"/>
                <w:lang w:bidi="ar"/>
              </w:rPr>
              <w:t>0.527)</w:t>
            </w:r>
          </w:p>
        </w:tc>
        <w:tc>
          <w:tcPr>
            <w:tcW w:w="2041" w:type="dxa"/>
            <w:shd w:val="clear" w:color="auto" w:fill="auto"/>
          </w:tcPr>
          <w:p w14:paraId="54C04209">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4A4303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00" w:type="dxa"/>
            <w:shd w:val="clear" w:color="auto" w:fill="auto"/>
          </w:tcPr>
          <w:p w14:paraId="13907CDE">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(&gt;20× URL)</w:t>
            </w:r>
          </w:p>
        </w:tc>
        <w:tc>
          <w:tcPr>
            <w:tcW w:w="1450" w:type="dxa"/>
            <w:shd w:val="clear" w:color="auto" w:fill="auto"/>
          </w:tcPr>
          <w:p w14:paraId="130C5321">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815</w:t>
            </w:r>
          </w:p>
        </w:tc>
        <w:tc>
          <w:tcPr>
            <w:tcW w:w="2288" w:type="dxa"/>
            <w:shd w:val="clear" w:color="auto" w:fill="auto"/>
          </w:tcPr>
          <w:p w14:paraId="6D31521A">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0.338 (0.198</w:t>
            </w:r>
            <w:r>
              <w:rPr>
                <w:rFonts w:hint="eastAsia" w:ascii="Times New Roman" w:hAnsi="Times New Roman" w:eastAsia="宋体" w:cs="Times New Roman"/>
                <w:iCs/>
                <w:color w:val="000000"/>
                <w:kern w:val="0"/>
                <w:sz w:val="20"/>
                <w:szCs w:val="20"/>
                <w:lang w:bidi="ar"/>
              </w:rPr>
              <w:t>-</w:t>
            </w:r>
            <w:r>
              <w:rPr>
                <w:rFonts w:ascii="Times New Roman" w:hAnsi="Times New Roman" w:eastAsia="宋体" w:cs="Times New Roman"/>
                <w:color w:val="000000"/>
                <w:kern w:val="0"/>
                <w:sz w:val="20"/>
                <w:szCs w:val="20"/>
                <w:lang w:bidi="ar"/>
              </w:rPr>
              <w:t>0.574)</w:t>
            </w:r>
          </w:p>
        </w:tc>
        <w:tc>
          <w:tcPr>
            <w:tcW w:w="2041" w:type="dxa"/>
            <w:shd w:val="clear" w:color="auto" w:fill="auto"/>
          </w:tcPr>
          <w:p w14:paraId="0224A75C">
            <w:pPr>
              <w:widowControl/>
              <w:spacing w:after="0" w:line="240" w:lineRule="auto"/>
              <w:jc w:val="center"/>
              <w:textAlignment w:val="top"/>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bl>
    <w:p w14:paraId="789885E7">
      <w:pPr>
        <w:spacing w:after="0" w:line="279" w:lineRule="auto"/>
        <w:jc w:val="both"/>
        <w:rPr>
          <w:rFonts w:ascii="Times New Roman" w:hAnsi="Times New Roman" w:cs="Times New Roman"/>
          <w:sz w:val="20"/>
          <w:szCs w:val="20"/>
        </w:rPr>
      </w:pPr>
      <w:r>
        <w:rPr>
          <w:rFonts w:ascii="Times New Roman" w:hAnsi="Times New Roman" w:cs="Times New Roman"/>
          <w:sz w:val="20"/>
          <w:szCs w:val="20"/>
        </w:rPr>
        <w:t xml:space="preserve">Interaction </w:t>
      </w:r>
      <w:r>
        <w:rPr>
          <w:rFonts w:ascii="Times New Roman" w:hAnsi="Times New Roman" w:cs="Times New Roman"/>
          <w:i/>
          <w:iCs/>
          <w:sz w:val="20"/>
          <w:szCs w:val="20"/>
        </w:rPr>
        <w:t>P</w:t>
      </w:r>
      <w:r>
        <w:rPr>
          <w:rFonts w:ascii="Times New Roman" w:hAnsi="Times New Roman" w:cs="Times New Roman"/>
          <w:sz w:val="20"/>
          <w:szCs w:val="20"/>
        </w:rPr>
        <w:t xml:space="preserve"> value: 0.008. </w:t>
      </w:r>
    </w:p>
    <w:p w14:paraId="08D31D23">
      <w:pPr>
        <w:spacing w:after="0" w:line="279" w:lineRule="auto"/>
        <w:jc w:val="both"/>
        <w:rPr>
          <w:rFonts w:ascii="Times New Roman" w:hAnsi="Times New Roman" w:cs="Times New Roman"/>
          <w:sz w:val="20"/>
          <w:szCs w:val="20"/>
        </w:rPr>
      </w:pPr>
      <w:r>
        <w:rPr>
          <w:rFonts w:ascii="Times New Roman" w:hAnsi="Times New Roman" w:cs="Times New Roman"/>
          <w:sz w:val="20"/>
          <w:szCs w:val="20"/>
        </w:rPr>
        <w:t>Abbreviations: URL, upper reference limit (0.01 ng/mL); HR, hazard ratio; CI, confidence interval.</w:t>
      </w:r>
    </w:p>
    <w:p w14:paraId="7C35E6AA">
      <w:pPr>
        <w:spacing w:after="0" w:line="279" w:lineRule="auto"/>
        <w:jc w:val="both"/>
        <w:rPr>
          <w:rFonts w:ascii="Times New Roman" w:hAnsi="Times New Roman" w:cs="Times New Roman"/>
          <w:sz w:val="20"/>
          <w:szCs w:val="20"/>
        </w:rPr>
      </w:pPr>
      <w:r>
        <w:rPr>
          <w:rFonts w:ascii="Times New Roman" w:hAnsi="Times New Roman" w:cs="Times New Roman"/>
          <w:sz w:val="20"/>
          <w:szCs w:val="20"/>
        </w:rPr>
        <w:t xml:space="preserve">Note: Stratification was based on the fold-increase of cardiac troponin T (cTnT) above the upper reference limit. </w:t>
      </w:r>
      <w:r>
        <w:rPr>
          <w:rFonts w:hint="eastAsia" w:ascii="Times New Roman" w:hAnsi="Times New Roman" w:cs="Times New Roman"/>
          <w:iCs/>
          <w:sz w:val="20"/>
          <w:szCs w:val="20"/>
        </w:rPr>
        <w:t>Multifactorial</w:t>
      </w:r>
      <w:r>
        <w:rPr>
          <w:rFonts w:ascii="Times New Roman" w:hAnsi="Times New Roman" w:cs="Times New Roman"/>
          <w:sz w:val="20"/>
          <w:szCs w:val="20"/>
        </w:rPr>
        <w:t xml:space="preserve"> Cox models were adjusted for age, sex, SOFA score, and Charlson comorbidity index.</w:t>
      </w:r>
    </w:p>
    <w:p w14:paraId="71923FBC">
      <w:pPr>
        <w:rPr>
          <w:rFonts w:ascii="Times New Roman" w:hAnsi="Times New Roman" w:cs="Times New Roman"/>
          <w:sz w:val="20"/>
          <w:szCs w:val="20"/>
        </w:rPr>
      </w:pPr>
    </w:p>
    <w:p w14:paraId="48F3EE5F">
      <w:pPr>
        <w:rPr>
          <w:rFonts w:ascii="Times New Roman" w:hAnsi="Times New Roman" w:cs="Times New Roman"/>
          <w:sz w:val="20"/>
          <w:szCs w:val="20"/>
        </w:rPr>
      </w:pPr>
    </w:p>
    <w:p w14:paraId="4DD3365C">
      <w:pPr>
        <w:rPr>
          <w:rFonts w:ascii="Times New Roman" w:hAnsi="Times New Roman" w:cs="Times New Roman"/>
          <w:b/>
          <w:bCs/>
          <w:sz w:val="20"/>
          <w:szCs w:val="20"/>
        </w:rPr>
      </w:pPr>
      <w:r>
        <w:rPr>
          <w:rFonts w:ascii="Times New Roman" w:hAnsi="Times New Roman" w:cs="Times New Roman"/>
          <w:b/>
          <w:bCs/>
          <w:sz w:val="20"/>
          <w:szCs w:val="20"/>
        </w:rPr>
        <w:t xml:space="preserve">Supplementary Table </w:t>
      </w:r>
      <w:r>
        <w:rPr>
          <w:rFonts w:hint="eastAsia" w:ascii="Times New Roman" w:hAnsi="Times New Roman" w:cs="Times New Roman"/>
          <w:b/>
          <w:bCs/>
          <w:sz w:val="20"/>
          <w:szCs w:val="20"/>
          <w:lang w:val="en-US" w:eastAsia="zh-CN"/>
        </w:rPr>
        <w:t>6</w:t>
      </w:r>
      <w:r>
        <w:rPr>
          <w:rFonts w:ascii="Times New Roman" w:hAnsi="Times New Roman" w:cs="Times New Roman"/>
          <w:b/>
          <w:bCs/>
          <w:sz w:val="20"/>
          <w:szCs w:val="20"/>
        </w:rPr>
        <w:t>. Creatinine-stratified analysis of the association between PLT/LDH ratio and in-hospital mortality</w:t>
      </w:r>
    </w:p>
    <w:tbl>
      <w:tblPr>
        <w:tblStyle w:val="16"/>
        <w:tblW w:w="8257" w:type="dxa"/>
        <w:tblInd w:w="-2"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48"/>
        <w:gridCol w:w="1727"/>
        <w:gridCol w:w="2041"/>
        <w:gridCol w:w="2041"/>
      </w:tblGrid>
      <w:tr w14:paraId="60CF02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2448" w:type="dxa"/>
            <w:tcBorders>
              <w:bottom w:val="single" w:color="auto" w:sz="4" w:space="0"/>
            </w:tcBorders>
            <w:shd w:val="clear" w:color="auto" w:fill="auto"/>
          </w:tcPr>
          <w:p w14:paraId="10704327">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Stratum</w:t>
            </w:r>
          </w:p>
        </w:tc>
        <w:tc>
          <w:tcPr>
            <w:tcW w:w="1727" w:type="dxa"/>
            <w:tcBorders>
              <w:bottom w:val="single" w:color="auto" w:sz="4" w:space="0"/>
            </w:tcBorders>
            <w:shd w:val="clear" w:color="auto" w:fill="auto"/>
          </w:tcPr>
          <w:p w14:paraId="14A117DC">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n</w:t>
            </w:r>
          </w:p>
        </w:tc>
        <w:tc>
          <w:tcPr>
            <w:tcW w:w="2041" w:type="dxa"/>
            <w:tcBorders>
              <w:bottom w:val="single" w:color="auto" w:sz="4" w:space="0"/>
            </w:tcBorders>
            <w:shd w:val="clear" w:color="auto" w:fill="auto"/>
          </w:tcPr>
          <w:p w14:paraId="5A88735E">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HR (95% CI)</w:t>
            </w:r>
          </w:p>
        </w:tc>
        <w:tc>
          <w:tcPr>
            <w:tcW w:w="2041" w:type="dxa"/>
            <w:tcBorders>
              <w:bottom w:val="single" w:color="auto" w:sz="4" w:space="0"/>
            </w:tcBorders>
            <w:shd w:val="clear" w:color="auto" w:fill="auto"/>
          </w:tcPr>
          <w:p w14:paraId="25167D21">
            <w:pPr>
              <w:widowControl/>
              <w:jc w:val="center"/>
              <w:textAlignment w:val="center"/>
              <w:rPr>
                <w:rFonts w:ascii="Times New Roman" w:hAnsi="Times New Roman" w:eastAsia="宋体" w:cs="Times New Roman"/>
                <w:b/>
                <w:bCs/>
                <w:i/>
                <w:iCs/>
                <w:color w:val="000000"/>
                <w:sz w:val="20"/>
                <w:szCs w:val="20"/>
              </w:rPr>
            </w:pPr>
            <w:r>
              <w:rPr>
                <w:rFonts w:hint="eastAsia" w:ascii="Times New Roman" w:hAnsi="Times New Roman" w:eastAsia="宋体" w:cs="Times New Roman"/>
                <w:b/>
                <w:bCs/>
                <w:i/>
                <w:iCs/>
                <w:color w:val="000000"/>
                <w:kern w:val="0"/>
                <w:sz w:val="20"/>
                <w:szCs w:val="20"/>
                <w:lang w:bidi="ar"/>
              </w:rPr>
              <w:t>p</w:t>
            </w:r>
            <w:r>
              <w:rPr>
                <w:rFonts w:ascii="Times New Roman" w:hAnsi="Times New Roman" w:eastAsia="宋体" w:cs="Times New Roman"/>
                <w:b/>
                <w:bCs/>
                <w:color w:val="000000"/>
                <w:kern w:val="0"/>
                <w:sz w:val="20"/>
                <w:szCs w:val="20"/>
                <w:lang w:bidi="ar"/>
              </w:rPr>
              <w:t xml:space="preserve"> value</w:t>
            </w:r>
          </w:p>
        </w:tc>
      </w:tr>
      <w:tr w14:paraId="1A2E71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2448" w:type="dxa"/>
            <w:tcBorders>
              <w:top w:val="single" w:color="auto" w:sz="4" w:space="0"/>
            </w:tcBorders>
            <w:shd w:val="clear" w:color="auto" w:fill="auto"/>
          </w:tcPr>
          <w:p w14:paraId="08430FD5">
            <w:pPr>
              <w:widowControl/>
              <w:jc w:val="both"/>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T1 (≤80.7 μmol/L)</w:t>
            </w:r>
          </w:p>
        </w:tc>
        <w:tc>
          <w:tcPr>
            <w:tcW w:w="1727" w:type="dxa"/>
            <w:tcBorders>
              <w:top w:val="single" w:color="auto" w:sz="4" w:space="0"/>
            </w:tcBorders>
            <w:shd w:val="clear" w:color="auto" w:fill="auto"/>
          </w:tcPr>
          <w:p w14:paraId="17BE9FD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753</w:t>
            </w:r>
          </w:p>
        </w:tc>
        <w:tc>
          <w:tcPr>
            <w:tcW w:w="2041" w:type="dxa"/>
            <w:tcBorders>
              <w:top w:val="single" w:color="auto" w:sz="4" w:space="0"/>
            </w:tcBorders>
            <w:shd w:val="clear" w:color="auto" w:fill="auto"/>
          </w:tcPr>
          <w:p w14:paraId="15FCE9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0.673 (0.454</w:t>
            </w:r>
            <w:r>
              <w:rPr>
                <w:rFonts w:hint="eastAsia" w:ascii="Times New Roman" w:hAnsi="Times New Roman" w:eastAsia="宋体" w:cs="Times New Roman"/>
                <w:iCs/>
                <w:color w:val="000000"/>
                <w:kern w:val="0"/>
                <w:sz w:val="20"/>
                <w:szCs w:val="20"/>
                <w:lang w:bidi="ar"/>
              </w:rPr>
              <w:t>-</w:t>
            </w:r>
            <w:r>
              <w:rPr>
                <w:rFonts w:ascii="Times New Roman" w:hAnsi="Times New Roman" w:eastAsia="宋体" w:cs="Times New Roman"/>
                <w:color w:val="000000"/>
                <w:kern w:val="0"/>
                <w:sz w:val="20"/>
                <w:szCs w:val="20"/>
                <w:lang w:bidi="ar"/>
              </w:rPr>
              <w:t>0.999)</w:t>
            </w:r>
          </w:p>
        </w:tc>
        <w:tc>
          <w:tcPr>
            <w:tcW w:w="2041" w:type="dxa"/>
            <w:tcBorders>
              <w:top w:val="single" w:color="auto" w:sz="4" w:space="0"/>
            </w:tcBorders>
            <w:shd w:val="clear" w:color="auto" w:fill="auto"/>
          </w:tcPr>
          <w:p w14:paraId="2F6A769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0.049</w:t>
            </w:r>
          </w:p>
        </w:tc>
      </w:tr>
      <w:tr w14:paraId="188506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2448" w:type="dxa"/>
            <w:shd w:val="clear" w:color="auto" w:fill="auto"/>
          </w:tcPr>
          <w:p w14:paraId="33A0EBF7">
            <w:pPr>
              <w:widowControl/>
              <w:jc w:val="both"/>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T2 (80.7</w:t>
            </w:r>
            <w:r>
              <w:rPr>
                <w:rFonts w:hint="eastAsia" w:ascii="Times New Roman" w:hAnsi="Times New Roman" w:eastAsia="宋体" w:cs="Times New Roman"/>
                <w:iCs/>
                <w:color w:val="000000"/>
                <w:kern w:val="0"/>
                <w:sz w:val="20"/>
                <w:szCs w:val="20"/>
                <w:lang w:bidi="ar"/>
              </w:rPr>
              <w:t>-</w:t>
            </w:r>
            <w:r>
              <w:rPr>
                <w:rFonts w:ascii="Times New Roman" w:hAnsi="Times New Roman" w:eastAsia="宋体" w:cs="Times New Roman"/>
                <w:color w:val="000000"/>
                <w:kern w:val="0"/>
                <w:sz w:val="20"/>
                <w:szCs w:val="20"/>
                <w:lang w:bidi="ar"/>
              </w:rPr>
              <w:t>96.6 μmol/L)</w:t>
            </w:r>
          </w:p>
        </w:tc>
        <w:tc>
          <w:tcPr>
            <w:tcW w:w="1727" w:type="dxa"/>
            <w:shd w:val="clear" w:color="auto" w:fill="auto"/>
          </w:tcPr>
          <w:p w14:paraId="134B1A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768</w:t>
            </w:r>
          </w:p>
        </w:tc>
        <w:tc>
          <w:tcPr>
            <w:tcW w:w="2041" w:type="dxa"/>
            <w:shd w:val="clear" w:color="auto" w:fill="auto"/>
          </w:tcPr>
          <w:p w14:paraId="2B28CD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0.713 (0.468</w:t>
            </w:r>
            <w:r>
              <w:rPr>
                <w:rFonts w:hint="eastAsia" w:ascii="Times New Roman" w:hAnsi="Times New Roman" w:eastAsia="宋体" w:cs="Times New Roman"/>
                <w:iCs/>
                <w:color w:val="000000"/>
                <w:kern w:val="0"/>
                <w:sz w:val="20"/>
                <w:szCs w:val="20"/>
                <w:lang w:bidi="ar"/>
              </w:rPr>
              <w:t>-</w:t>
            </w:r>
            <w:r>
              <w:rPr>
                <w:rFonts w:ascii="Times New Roman" w:hAnsi="Times New Roman" w:eastAsia="宋体" w:cs="Times New Roman"/>
                <w:color w:val="000000"/>
                <w:kern w:val="0"/>
                <w:sz w:val="20"/>
                <w:szCs w:val="20"/>
                <w:lang w:bidi="ar"/>
              </w:rPr>
              <w:t>1.084)</w:t>
            </w:r>
          </w:p>
        </w:tc>
        <w:tc>
          <w:tcPr>
            <w:tcW w:w="2041" w:type="dxa"/>
            <w:shd w:val="clear" w:color="auto" w:fill="auto"/>
          </w:tcPr>
          <w:p w14:paraId="4DE1553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0.113</w:t>
            </w:r>
          </w:p>
        </w:tc>
      </w:tr>
      <w:tr w14:paraId="08F5B1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2448" w:type="dxa"/>
            <w:shd w:val="clear" w:color="auto" w:fill="auto"/>
          </w:tcPr>
          <w:p w14:paraId="02D1DED8">
            <w:pPr>
              <w:widowControl/>
              <w:jc w:val="both"/>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T3 (&gt;96.6 μmol/L)</w:t>
            </w:r>
          </w:p>
        </w:tc>
        <w:tc>
          <w:tcPr>
            <w:tcW w:w="1727" w:type="dxa"/>
            <w:shd w:val="clear" w:color="auto" w:fill="auto"/>
          </w:tcPr>
          <w:p w14:paraId="6A233D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1,517</w:t>
            </w:r>
          </w:p>
        </w:tc>
        <w:tc>
          <w:tcPr>
            <w:tcW w:w="2041" w:type="dxa"/>
            <w:shd w:val="clear" w:color="auto" w:fill="auto"/>
          </w:tcPr>
          <w:p w14:paraId="1526EF1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0.206 (0.124</w:t>
            </w:r>
            <w:r>
              <w:rPr>
                <w:rFonts w:hint="eastAsia" w:ascii="Times New Roman" w:hAnsi="Times New Roman" w:eastAsia="宋体" w:cs="Times New Roman"/>
                <w:iCs/>
                <w:color w:val="000000"/>
                <w:kern w:val="0"/>
                <w:sz w:val="20"/>
                <w:szCs w:val="20"/>
                <w:lang w:bidi="ar"/>
              </w:rPr>
              <w:t>-</w:t>
            </w:r>
            <w:r>
              <w:rPr>
                <w:rFonts w:ascii="Times New Roman" w:hAnsi="Times New Roman" w:eastAsia="宋体" w:cs="Times New Roman"/>
                <w:color w:val="000000"/>
                <w:kern w:val="0"/>
                <w:sz w:val="20"/>
                <w:szCs w:val="20"/>
                <w:lang w:bidi="ar"/>
              </w:rPr>
              <w:t>0.343)</w:t>
            </w:r>
          </w:p>
        </w:tc>
        <w:tc>
          <w:tcPr>
            <w:tcW w:w="2041" w:type="dxa"/>
            <w:shd w:val="clear" w:color="auto" w:fill="auto"/>
          </w:tcPr>
          <w:p w14:paraId="3AEDF18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bl>
    <w:p w14:paraId="2026D079">
      <w:pPr>
        <w:spacing w:after="0" w:line="279" w:lineRule="auto"/>
        <w:rPr>
          <w:rFonts w:ascii="Times New Roman" w:hAnsi="Times New Roman" w:cs="Times New Roman"/>
          <w:sz w:val="20"/>
          <w:szCs w:val="20"/>
        </w:rPr>
      </w:pPr>
      <w:r>
        <w:rPr>
          <w:rFonts w:ascii="Times New Roman" w:hAnsi="Times New Roman" w:cs="Times New Roman"/>
          <w:sz w:val="20"/>
          <w:szCs w:val="20"/>
        </w:rPr>
        <w:t xml:space="preserve">Interaction </w:t>
      </w:r>
      <w:r>
        <w:rPr>
          <w:rFonts w:ascii="Times New Roman" w:hAnsi="Times New Roman" w:cs="Times New Roman"/>
          <w:i/>
          <w:iCs/>
          <w:sz w:val="20"/>
          <w:szCs w:val="20"/>
        </w:rPr>
        <w:t>P</w:t>
      </w:r>
      <w:r>
        <w:rPr>
          <w:rFonts w:ascii="Times New Roman" w:hAnsi="Times New Roman" w:cs="Times New Roman"/>
          <w:sz w:val="20"/>
          <w:szCs w:val="20"/>
        </w:rPr>
        <w:t xml:space="preserve"> value: &lt;0.001.</w:t>
      </w:r>
    </w:p>
    <w:p w14:paraId="41A4D8F5">
      <w:pPr>
        <w:spacing w:after="0" w:line="279" w:lineRule="auto"/>
        <w:rPr>
          <w:rFonts w:ascii="Times New Roman" w:hAnsi="Times New Roman" w:cs="Times New Roman"/>
          <w:sz w:val="20"/>
          <w:szCs w:val="20"/>
        </w:rPr>
      </w:pPr>
      <w:r>
        <w:rPr>
          <w:rFonts w:ascii="Times New Roman" w:hAnsi="Times New Roman" w:cs="Times New Roman"/>
          <w:sz w:val="20"/>
          <w:szCs w:val="20"/>
        </w:rPr>
        <w:t>Abbreviations: HR, hazard ratio; CI, confidence interval.</w:t>
      </w:r>
    </w:p>
    <w:p w14:paraId="0D1571F5">
      <w:pPr>
        <w:spacing w:after="0" w:line="279" w:lineRule="auto"/>
        <w:rPr>
          <w:rFonts w:ascii="Times New Roman" w:hAnsi="Times New Roman" w:cs="Times New Roman"/>
          <w:sz w:val="20"/>
          <w:szCs w:val="20"/>
        </w:rPr>
      </w:pPr>
      <w:r>
        <w:rPr>
          <w:rFonts w:ascii="Times New Roman" w:hAnsi="Times New Roman" w:cs="Times New Roman"/>
          <w:sz w:val="20"/>
          <w:szCs w:val="20"/>
        </w:rPr>
        <w:t xml:space="preserve">Note: </w:t>
      </w:r>
      <w:r>
        <w:rPr>
          <w:rFonts w:hint="eastAsia" w:ascii="Times New Roman" w:hAnsi="Times New Roman" w:cs="Times New Roman"/>
          <w:sz w:val="20"/>
          <w:szCs w:val="20"/>
        </w:rPr>
        <w:t>Of the 3071 patients in the final analysis cohort, 33 had missing serum creatinine data and were excluded from this stratified analysis. The remaining 3038 patients were stratified into tertiles based on serum creatinine. Multifactorial Cox models were adjusted for age, sex, SOFA score, and Charlson comorbidity index</w:t>
      </w:r>
    </w:p>
    <w:p w14:paraId="24BD1E4A">
      <w:pPr>
        <w:rPr>
          <w:rFonts w:ascii="Times New Roman" w:hAnsi="Times New Roman" w:cs="Times New Roman"/>
          <w:sz w:val="20"/>
          <w:szCs w:val="20"/>
        </w:rPr>
      </w:pPr>
    </w:p>
    <w:p w14:paraId="592A90B4">
      <w:pPr>
        <w:jc w:val="both"/>
        <w:rPr>
          <w:rFonts w:hint="eastAsia" w:ascii="Times New Roman" w:hAnsi="Times New Roman" w:cs="Times New Roman"/>
          <w:sz w:val="20"/>
          <w:szCs w:val="20"/>
        </w:rPr>
        <w:sectPr>
          <w:pgSz w:w="16838" w:h="11906" w:orient="landscape"/>
          <w:pgMar w:top="1800" w:right="1440" w:bottom="1800" w:left="1440" w:header="851" w:footer="992" w:gutter="0"/>
          <w:cols w:space="425" w:num="1"/>
          <w:docGrid w:type="lines" w:linePitch="312" w:charSpace="0"/>
        </w:sectPr>
      </w:pPr>
    </w:p>
    <w:p w14:paraId="4780F31B">
      <w:pPr>
        <w:jc w:val="both"/>
        <w:rPr>
          <w:rFonts w:ascii="Times New Roman" w:hAnsi="Times New Roman" w:cs="Times New Roman"/>
          <w:sz w:val="20"/>
          <w:szCs w:val="20"/>
        </w:rPr>
      </w:pPr>
      <w:r>
        <w:rPr>
          <w:rFonts w:hint="eastAsia" w:ascii="Times New Roman" w:hAnsi="Times New Roman" w:cs="Times New Roman"/>
          <w:sz w:val="20"/>
          <w:szCs w:val="20"/>
        </w:rPr>
        <w:drawing>
          <wp:inline distT="0" distB="0" distL="114300" distR="114300">
            <wp:extent cx="5269230" cy="3430270"/>
            <wp:effectExtent l="0" t="0" r="3810" b="13970"/>
            <wp:docPr id="1" name="图片 1"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1"/>
                    <pic:cNvPicPr>
                      <a:picLocks noChangeAspect="1"/>
                    </pic:cNvPicPr>
                  </pic:nvPicPr>
                  <pic:blipFill>
                    <a:blip r:embed="rId6"/>
                    <a:stretch>
                      <a:fillRect/>
                    </a:stretch>
                  </pic:blipFill>
                  <pic:spPr>
                    <a:xfrm>
                      <a:off x="0" y="0"/>
                      <a:ext cx="5269230" cy="3430270"/>
                    </a:xfrm>
                    <a:prstGeom prst="rect">
                      <a:avLst/>
                    </a:prstGeom>
                  </pic:spPr>
                </pic:pic>
              </a:graphicData>
            </a:graphic>
          </wp:inline>
        </w:drawing>
      </w:r>
    </w:p>
    <w:p w14:paraId="1E939DE4">
      <w:pPr>
        <w:jc w:val="both"/>
        <w:rPr>
          <w:rFonts w:ascii="Times New Roman" w:hAnsi="Times New Roman" w:cs="Times New Roman"/>
          <w:sz w:val="20"/>
          <w:szCs w:val="20"/>
        </w:rPr>
      </w:pPr>
      <w:r>
        <w:rPr>
          <w:rFonts w:ascii="Times New Roman" w:hAnsi="Times New Roman" w:cs="Times New Roman"/>
          <w:b/>
          <w:bCs/>
          <w:sz w:val="20"/>
          <w:szCs w:val="20"/>
        </w:rPr>
        <w:t xml:space="preserve">Supplementary </w:t>
      </w:r>
      <w:r>
        <w:rPr>
          <w:rFonts w:hint="eastAsia" w:ascii="Times New Roman" w:hAnsi="Times New Roman" w:cs="Times New Roman"/>
          <w:b/>
          <w:bCs/>
          <w:sz w:val="20"/>
          <w:szCs w:val="20"/>
        </w:rPr>
        <w:t>Fig. 1. Patient flow diagram.</w:t>
      </w:r>
      <w:r>
        <w:rPr>
          <w:rFonts w:hint="eastAsia" w:ascii="Times New Roman" w:hAnsi="Times New Roman" w:cs="Times New Roman"/>
          <w:sz w:val="20"/>
          <w:szCs w:val="20"/>
        </w:rPr>
        <w:t xml:space="preserve"> A total of 3,390 patients with sepsis-induced myocardial injury (SIMI) were initially screened. After excluding 319 patients with missing platelet count (PLT) or lactate dehydrogenase (LDH) data, 3,071 patients were included in the final analysis cohort, of whom 2,508 survived to hospital discharge and 563 died during hospitalization. Abbreviation: SIMI, sepsis-induced myocardial injury.</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CD9"/>
    <w:rsid w:val="000112D3"/>
    <w:rsid w:val="00094712"/>
    <w:rsid w:val="001A16D2"/>
    <w:rsid w:val="003278DE"/>
    <w:rsid w:val="00366E93"/>
    <w:rsid w:val="004F101D"/>
    <w:rsid w:val="005B5717"/>
    <w:rsid w:val="007A1DC7"/>
    <w:rsid w:val="007E2BB5"/>
    <w:rsid w:val="007F5B56"/>
    <w:rsid w:val="009567CD"/>
    <w:rsid w:val="00957459"/>
    <w:rsid w:val="00962A8D"/>
    <w:rsid w:val="00A47F5A"/>
    <w:rsid w:val="00B62BE3"/>
    <w:rsid w:val="00C823D9"/>
    <w:rsid w:val="00DF3267"/>
    <w:rsid w:val="00E94D7B"/>
    <w:rsid w:val="00FD1AD3"/>
    <w:rsid w:val="00FF6CD9"/>
    <w:rsid w:val="010D1356"/>
    <w:rsid w:val="04380A7C"/>
    <w:rsid w:val="0D0364DD"/>
    <w:rsid w:val="10134CDE"/>
    <w:rsid w:val="1410457B"/>
    <w:rsid w:val="215779C0"/>
    <w:rsid w:val="27DC45DE"/>
    <w:rsid w:val="344F7209"/>
    <w:rsid w:val="3AC4360F"/>
    <w:rsid w:val="455A06DD"/>
    <w:rsid w:val="5DFC0EA5"/>
    <w:rsid w:val="77493F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rPr>
      <w:sz w:val="24"/>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明显参考1"/>
    <w:basedOn w:val="18"/>
    <w:qFormat/>
    <w:uiPriority w:val="32"/>
    <w:rPr>
      <w:b/>
      <w:bCs/>
      <w:smallCaps/>
      <w:color w:val="104862"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 w:type="character" w:customStyle="1" w:styleId="39">
    <w:name w:val="font41"/>
    <w:basedOn w:val="18"/>
    <w:qFormat/>
    <w:uiPriority w:val="0"/>
    <w:rPr>
      <w:rFonts w:hint="default" w:ascii="Times New Roman" w:hAnsi="Times New Roman" w:cs="Times New Roman"/>
      <w:color w:val="000000"/>
      <w:sz w:val="24"/>
      <w:szCs w:val="24"/>
      <w:u w:val="none"/>
    </w:rPr>
  </w:style>
  <w:style w:type="character" w:customStyle="1" w:styleId="40">
    <w:name w:val="font11"/>
    <w:basedOn w:val="18"/>
    <w:uiPriority w:val="0"/>
    <w:rPr>
      <w:rFonts w:hint="default" w:ascii="Times New Roman" w:hAnsi="Times New Roman" w:cs="Times New Roman"/>
      <w:b/>
      <w:bCs/>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6</Pages>
  <Words>473</Words>
  <Characters>3192</Characters>
  <Lines>51</Lines>
  <Paragraphs>14</Paragraphs>
  <TotalTime>11</TotalTime>
  <ScaleCrop>false</ScaleCrop>
  <LinksUpToDate>false</LinksUpToDate>
  <CharactersWithSpaces>3453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2026-03-30T06:59:00Z</dcterms:created>
  <dc:creator>芸漳 赵</dc:creator>
  <cp:lastModifiedBy>mession</cp:lastModifiedBy>
  <dcterms:modified xsi:type="dcterms:W3CDTF">2026-10-21T14:05:37Z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eyJoZGlkIjoiYTE0ZTc5NzFiMjBlOTY4OWZmNjI3YTc1ZTg2MzY3MWIiLCJ1c2VySWQiOiIzMTI2MzgzMTIifQ==</vt:lpwstr>
  </property>
  <property fmtid="{D5CDD505-2E9C-101B-9397-08002B2CF9AE}" pid="3" name="KSOProductBuildVer">
    <vt:lpwstr>2052-12.1.0.29161</vt:lpwstr>
  </property>
  <property fmtid="{D5CDD505-2E9C-101B-9397-08002B2CF9AE}" pid="4" name="ICV">
    <vt:lpwstr>B967E22EA70D47F7A71AE06D52FF2516_13</vt:lpwstr>
  </property>
</Properties>
</file>